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D6" w:rsidRDefault="009E4CD6" w:rsidP="009E4CD6">
      <w:pPr>
        <w:spacing w:line="276" w:lineRule="auto"/>
        <w:rPr>
          <w:rFonts w:eastAsia="Calibri" w:cs="Arial"/>
          <w:b/>
          <w:sz w:val="22"/>
          <w:szCs w:val="22"/>
          <w:lang w:eastAsia="en-US"/>
        </w:rPr>
      </w:pPr>
      <w:r>
        <w:rPr>
          <w:rFonts w:eastAsia="Calibri" w:cs="Arial"/>
          <w:b/>
          <w:sz w:val="22"/>
          <w:szCs w:val="22"/>
          <w:lang w:eastAsia="en-US"/>
        </w:rPr>
        <w:t xml:space="preserve">Appendix K </w:t>
      </w:r>
    </w:p>
    <w:p w:rsidR="009E4CD6" w:rsidRDefault="009E4CD6" w:rsidP="009E4CD6">
      <w:pPr>
        <w:spacing w:line="276" w:lineRule="auto"/>
        <w:rPr>
          <w:rFonts w:eastAsia="Calibri" w:cs="Arial"/>
          <w:b/>
          <w:sz w:val="22"/>
          <w:szCs w:val="22"/>
          <w:lang w:eastAsia="en-US"/>
        </w:rPr>
      </w:pPr>
    </w:p>
    <w:p w:rsidR="009E4CD6" w:rsidRPr="009E4CD6" w:rsidRDefault="009E4CD6" w:rsidP="009E4CD6">
      <w:pPr>
        <w:spacing w:line="276" w:lineRule="auto"/>
        <w:jc w:val="center"/>
        <w:rPr>
          <w:rFonts w:eastAsia="Calibri" w:cs="Arial"/>
          <w:b/>
          <w:sz w:val="22"/>
          <w:szCs w:val="22"/>
          <w:lang w:eastAsia="en-US"/>
        </w:rPr>
      </w:pPr>
      <w:r w:rsidRPr="009E4CD6">
        <w:rPr>
          <w:rFonts w:eastAsia="Calibri" w:cs="Arial"/>
          <w:b/>
          <w:sz w:val="22"/>
          <w:szCs w:val="22"/>
          <w:lang w:eastAsia="en-US"/>
        </w:rPr>
        <w:t>Slough Early Years Service Inclusion Grant and the Disability Access Fund Examples</w:t>
      </w:r>
    </w:p>
    <w:p w:rsidR="009E4CD6" w:rsidRPr="000F7770" w:rsidRDefault="009E4CD6" w:rsidP="009E4CD6">
      <w:pPr>
        <w:spacing w:line="276" w:lineRule="auto"/>
        <w:rPr>
          <w:rFonts w:eastAsia="Calibri" w:cs="Arial"/>
          <w:b/>
          <w:sz w:val="22"/>
          <w:szCs w:val="22"/>
          <w:lang w:eastAsia="en-US"/>
        </w:rPr>
      </w:pPr>
    </w:p>
    <w:p w:rsidR="009E4CD6" w:rsidRPr="000F7770" w:rsidRDefault="009E4CD6" w:rsidP="009E4CD6">
      <w:pPr>
        <w:spacing w:line="276" w:lineRule="auto"/>
        <w:rPr>
          <w:rFonts w:eastAsia="Calibri" w:cs="Arial"/>
          <w:b/>
          <w:sz w:val="22"/>
          <w:szCs w:val="22"/>
          <w:lang w:eastAsia="en-US"/>
        </w:rPr>
      </w:pPr>
      <w:r w:rsidRPr="000F7770">
        <w:rPr>
          <w:rFonts w:eastAsia="Calibri" w:cs="Arial"/>
          <w:b/>
          <w:sz w:val="22"/>
          <w:szCs w:val="22"/>
          <w:lang w:eastAsia="en-US"/>
        </w:rPr>
        <w:t>Slough Early Years Service Inclusion Grant</w:t>
      </w:r>
    </w:p>
    <w:p w:rsidR="009E4CD6" w:rsidRPr="000F7770" w:rsidRDefault="009E4CD6" w:rsidP="009E4CD6">
      <w:pPr>
        <w:spacing w:line="276" w:lineRule="auto"/>
        <w:jc w:val="both"/>
        <w:rPr>
          <w:rFonts w:cs="Arial"/>
          <w:sz w:val="22"/>
          <w:szCs w:val="22"/>
          <w:lang w:eastAsia="en-US"/>
        </w:rPr>
      </w:pPr>
      <w:r w:rsidRPr="000F7770">
        <w:rPr>
          <w:rFonts w:cs="Arial"/>
          <w:sz w:val="22"/>
          <w:szCs w:val="22"/>
          <w:lang w:eastAsia="en-US"/>
        </w:rPr>
        <w:t xml:space="preserve">The Inclusion grant is a support fund which is designed to cater for the support needs of children aged </w:t>
      </w:r>
      <w:r w:rsidR="00E8556F">
        <w:rPr>
          <w:rFonts w:cs="Arial"/>
          <w:sz w:val="22"/>
          <w:szCs w:val="22"/>
          <w:lang w:eastAsia="en-US"/>
        </w:rPr>
        <w:t xml:space="preserve">2, </w:t>
      </w:r>
      <w:bookmarkStart w:id="0" w:name="_GoBack"/>
      <w:bookmarkEnd w:id="0"/>
      <w:r w:rsidRPr="000F7770">
        <w:rPr>
          <w:rFonts w:cs="Arial"/>
          <w:sz w:val="22"/>
          <w:szCs w:val="22"/>
          <w:lang w:eastAsia="en-US"/>
        </w:rPr>
        <w:t>3 &amp; 4 years old (</w:t>
      </w:r>
      <w:r w:rsidRPr="000F7770">
        <w:rPr>
          <w:rFonts w:cs="Arial"/>
          <w:b/>
          <w:sz w:val="22"/>
          <w:szCs w:val="22"/>
          <w:lang w:eastAsia="en-US"/>
        </w:rPr>
        <w:t>the child receives free early learning)</w:t>
      </w:r>
      <w:r w:rsidRPr="000F7770">
        <w:rPr>
          <w:rFonts w:cs="Arial"/>
          <w:sz w:val="22"/>
          <w:szCs w:val="22"/>
          <w:lang w:eastAsia="en-US"/>
        </w:rPr>
        <w:t xml:space="preserve"> where additional care or resources are required at additional cost. The grant is intended to be used as a contribution towards providing additional resources and support for children with low level / emerging SEND where a provider is unable to meet the costs from their own funds, and is not necessarily expected to cover full costs or long term staffing costs.</w:t>
      </w:r>
    </w:p>
    <w:p w:rsidR="009E4CD6" w:rsidRPr="000F7770" w:rsidRDefault="009E4CD6" w:rsidP="009E4CD6">
      <w:pPr>
        <w:spacing w:line="276" w:lineRule="auto"/>
        <w:jc w:val="both"/>
        <w:rPr>
          <w:rFonts w:cs="Arial"/>
          <w:b/>
          <w:sz w:val="22"/>
          <w:szCs w:val="22"/>
          <w:lang w:eastAsia="en-US"/>
        </w:rPr>
      </w:pPr>
    </w:p>
    <w:p w:rsidR="009E4CD6" w:rsidRPr="000F7770" w:rsidRDefault="009E4CD6" w:rsidP="009E4CD6">
      <w:pPr>
        <w:spacing w:line="276" w:lineRule="auto"/>
        <w:jc w:val="both"/>
        <w:rPr>
          <w:rFonts w:cs="Arial"/>
          <w:b/>
          <w:sz w:val="22"/>
          <w:szCs w:val="22"/>
          <w:lang w:eastAsia="en-US"/>
        </w:rPr>
      </w:pPr>
      <w:r w:rsidRPr="000F7770">
        <w:rPr>
          <w:rFonts w:cs="Arial"/>
          <w:b/>
          <w:sz w:val="22"/>
          <w:szCs w:val="22"/>
          <w:lang w:eastAsia="en-US"/>
        </w:rPr>
        <w:t>Disability Access Fund</w:t>
      </w:r>
    </w:p>
    <w:p w:rsidR="009E4CD6" w:rsidRPr="000F7770" w:rsidRDefault="009E4CD6" w:rsidP="009E4CD6">
      <w:pPr>
        <w:spacing w:line="276" w:lineRule="auto"/>
        <w:jc w:val="both"/>
        <w:rPr>
          <w:rFonts w:cs="Arial"/>
          <w:sz w:val="22"/>
          <w:szCs w:val="22"/>
          <w:lang w:eastAsia="en-US"/>
        </w:rPr>
      </w:pPr>
      <w:r w:rsidRPr="000F7770">
        <w:rPr>
          <w:rFonts w:cs="Arial"/>
          <w:sz w:val="22"/>
          <w:szCs w:val="22"/>
          <w:lang w:eastAsia="en-US"/>
        </w:rPr>
        <w:t>This fund provides an annual lump sum payment of £615, per eligible child, to be paid to early years settings that are providing a free entitlement place for three and four year olds in receipt of Disability Living Allowance (DLA). The purpose of the Disability Access Fund is to support early year’s providers to make initial reasonable adjustments, build on the capacity of their setting to support disabled children and aid access to places.</w:t>
      </w:r>
    </w:p>
    <w:p w:rsidR="009E4CD6" w:rsidRPr="000F7770" w:rsidRDefault="009E4CD6" w:rsidP="009E4CD6">
      <w:pPr>
        <w:spacing w:line="276" w:lineRule="auto"/>
        <w:jc w:val="both"/>
        <w:rPr>
          <w:rFonts w:cs="Arial"/>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4"/>
        <w:gridCol w:w="1431"/>
        <w:gridCol w:w="1833"/>
      </w:tblGrid>
      <w:tr w:rsidR="009E4CD6" w:rsidRPr="00A81965" w:rsidTr="00013950">
        <w:tc>
          <w:tcPr>
            <w:tcW w:w="3389" w:type="pct"/>
            <w:shd w:val="clear" w:color="auto" w:fill="auto"/>
          </w:tcPr>
          <w:p w:rsidR="009E4CD6" w:rsidRPr="00A81965" w:rsidRDefault="009E4CD6" w:rsidP="00013950">
            <w:pPr>
              <w:rPr>
                <w:rFonts w:eastAsia="Calibri" w:cs="Arial"/>
                <w:b/>
                <w:sz w:val="22"/>
                <w:szCs w:val="22"/>
                <w:lang w:eastAsia="en-US"/>
              </w:rPr>
            </w:pPr>
            <w:r w:rsidRPr="00A81965">
              <w:rPr>
                <w:rFonts w:eastAsia="Calibri" w:cs="Arial"/>
                <w:b/>
                <w:sz w:val="22"/>
                <w:szCs w:val="22"/>
                <w:lang w:eastAsia="en-US"/>
              </w:rPr>
              <w:t>Example description</w:t>
            </w:r>
          </w:p>
        </w:tc>
        <w:tc>
          <w:tcPr>
            <w:tcW w:w="706" w:type="pct"/>
            <w:shd w:val="clear" w:color="auto" w:fill="auto"/>
          </w:tcPr>
          <w:p w:rsidR="009E4CD6" w:rsidRPr="00A81965" w:rsidRDefault="009E4CD6" w:rsidP="00013950">
            <w:pPr>
              <w:rPr>
                <w:rFonts w:eastAsia="Calibri" w:cs="Arial"/>
                <w:b/>
                <w:sz w:val="22"/>
                <w:szCs w:val="22"/>
                <w:lang w:eastAsia="en-US"/>
              </w:rPr>
            </w:pPr>
            <w:r w:rsidRPr="00A81965">
              <w:rPr>
                <w:rFonts w:eastAsia="Calibri" w:cs="Arial"/>
                <w:b/>
                <w:sz w:val="22"/>
                <w:szCs w:val="22"/>
                <w:lang w:eastAsia="en-US"/>
              </w:rPr>
              <w:t>Area</w:t>
            </w:r>
          </w:p>
        </w:tc>
        <w:tc>
          <w:tcPr>
            <w:tcW w:w="904" w:type="pct"/>
            <w:shd w:val="clear" w:color="auto" w:fill="auto"/>
          </w:tcPr>
          <w:p w:rsidR="009E4CD6" w:rsidRPr="00A81965" w:rsidRDefault="009E4CD6" w:rsidP="00013950">
            <w:pPr>
              <w:rPr>
                <w:rFonts w:eastAsia="Calibri" w:cs="Arial"/>
                <w:b/>
                <w:sz w:val="22"/>
                <w:szCs w:val="22"/>
                <w:lang w:eastAsia="en-US"/>
              </w:rPr>
            </w:pPr>
            <w:r w:rsidRPr="00A81965">
              <w:rPr>
                <w:rFonts w:eastAsia="Calibri" w:cs="Arial"/>
                <w:b/>
                <w:sz w:val="22"/>
                <w:szCs w:val="22"/>
                <w:lang w:eastAsia="en-US"/>
              </w:rPr>
              <w:t>Funds</w:t>
            </w:r>
          </w:p>
        </w:tc>
      </w:tr>
      <w:tr w:rsidR="009E4CD6" w:rsidRPr="00A81965" w:rsidTr="00013950">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Settings can apply for funding to access training offered by SEBDOS to support practitioner managing social, emotional and behaviour difficulties in the form of individual or group support.</w:t>
            </w: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Training</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Inclusion grant</w:t>
            </w:r>
          </w:p>
        </w:tc>
      </w:tr>
      <w:tr w:rsidR="009E4CD6" w:rsidRPr="00A81965" w:rsidTr="00013950">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Funding for a staff member for a number of sessions to support the settling in process of a specific child</w:t>
            </w: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Staffing</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DAF / inclusion grant</w:t>
            </w:r>
          </w:p>
        </w:tc>
      </w:tr>
      <w:tr w:rsidR="009E4CD6" w:rsidRPr="00A81965" w:rsidTr="00013950">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Funding to support PECs training for a whole staff team</w:t>
            </w:r>
          </w:p>
          <w:p w:rsidR="009E4CD6" w:rsidRPr="00A81965" w:rsidRDefault="009E4CD6" w:rsidP="00013950">
            <w:pPr>
              <w:spacing w:line="276" w:lineRule="auto"/>
              <w:rPr>
                <w:rFonts w:eastAsia="Calibri" w:cs="Arial"/>
                <w:sz w:val="22"/>
                <w:szCs w:val="22"/>
                <w:lang w:eastAsia="en-US"/>
              </w:rPr>
            </w:pP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Training</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Inclusion grant</w:t>
            </w:r>
          </w:p>
        </w:tc>
      </w:tr>
      <w:tr w:rsidR="009E4CD6" w:rsidRPr="00A81965" w:rsidTr="00013950">
        <w:trPr>
          <w:trHeight w:val="714"/>
        </w:trPr>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Funding for Attention autism training for a cluster of settings</w:t>
            </w:r>
          </w:p>
          <w:p w:rsidR="009E4CD6" w:rsidRPr="00A81965" w:rsidRDefault="009E4CD6" w:rsidP="00013950">
            <w:pPr>
              <w:spacing w:line="276" w:lineRule="auto"/>
              <w:rPr>
                <w:rFonts w:eastAsia="Calibri" w:cs="Arial"/>
                <w:sz w:val="22"/>
                <w:szCs w:val="22"/>
                <w:lang w:eastAsia="en-US"/>
              </w:rPr>
            </w:pP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Training</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Inclusion grant</w:t>
            </w:r>
          </w:p>
        </w:tc>
      </w:tr>
      <w:tr w:rsidR="009E4CD6" w:rsidRPr="00A81965" w:rsidTr="00013950">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 xml:space="preserve">Funds to purchase a specific piece of equipment for a single child, e.g. a tablet with specific programmes to support a child with autism </w:t>
            </w: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Equipment</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DAF / Inclusion grant</w:t>
            </w:r>
          </w:p>
        </w:tc>
      </w:tr>
      <w:tr w:rsidR="009E4CD6" w:rsidRPr="00A81965" w:rsidTr="00013950">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Funds to contribute to the purchase of a large outdoor apparatus for a small group of children, e.g. a climbing frame</w:t>
            </w: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Equipment</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Inclusion grant</w:t>
            </w:r>
          </w:p>
        </w:tc>
      </w:tr>
      <w:tr w:rsidR="009E4CD6" w:rsidRPr="00A81965" w:rsidTr="00013950">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Funding to pay for a small group of children to take part in a sporting activity that would benefit a specific child but they would otherwise be unable to take part</w:t>
            </w: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Activity</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DAF</w:t>
            </w:r>
          </w:p>
        </w:tc>
      </w:tr>
      <w:tr w:rsidR="009E4CD6" w:rsidRPr="00A81965" w:rsidTr="00013950">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Funding to purchase sensory equipment</w:t>
            </w:r>
          </w:p>
          <w:p w:rsidR="009E4CD6" w:rsidRPr="00A81965" w:rsidRDefault="009E4CD6" w:rsidP="00013950">
            <w:pPr>
              <w:spacing w:line="276" w:lineRule="auto"/>
              <w:rPr>
                <w:rFonts w:eastAsia="Calibri" w:cs="Arial"/>
                <w:sz w:val="22"/>
                <w:szCs w:val="22"/>
                <w:lang w:eastAsia="en-US"/>
              </w:rPr>
            </w:pP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Equipment</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DAF/ Inclusion grant</w:t>
            </w:r>
          </w:p>
        </w:tc>
      </w:tr>
      <w:tr w:rsidR="009E4CD6" w:rsidRPr="00A81965" w:rsidTr="00013950">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Funding to pay for a group of children to visit Thames Valley Adventure Playground</w:t>
            </w: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Activity</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DAF / Inclusion grant</w:t>
            </w:r>
          </w:p>
        </w:tc>
      </w:tr>
      <w:tr w:rsidR="009E4CD6" w:rsidRPr="00A81965" w:rsidTr="00013950">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Hiring of a mini bus to enable all children to access an off site trip.</w:t>
            </w:r>
          </w:p>
          <w:p w:rsidR="009E4CD6" w:rsidRPr="00A81965" w:rsidRDefault="009E4CD6" w:rsidP="00013950">
            <w:pPr>
              <w:spacing w:line="276" w:lineRule="auto"/>
              <w:rPr>
                <w:rFonts w:eastAsia="Calibri" w:cs="Arial"/>
                <w:sz w:val="22"/>
                <w:szCs w:val="22"/>
                <w:lang w:eastAsia="en-US"/>
              </w:rPr>
            </w:pP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Activity</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DAF / Inclusion grant</w:t>
            </w:r>
          </w:p>
        </w:tc>
      </w:tr>
      <w:tr w:rsidR="009E4CD6" w:rsidRPr="00A81965" w:rsidTr="00013950">
        <w:tc>
          <w:tcPr>
            <w:tcW w:w="3389"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Funding to support a visiting educational activity. e.g. mobile farm, drama group, music group</w:t>
            </w:r>
          </w:p>
          <w:p w:rsidR="009E4CD6" w:rsidRPr="00A81965" w:rsidRDefault="009E4CD6" w:rsidP="00013950">
            <w:pPr>
              <w:spacing w:line="276" w:lineRule="auto"/>
              <w:rPr>
                <w:rFonts w:eastAsia="Calibri" w:cs="Arial"/>
                <w:sz w:val="22"/>
                <w:szCs w:val="22"/>
                <w:lang w:eastAsia="en-US"/>
              </w:rPr>
            </w:pPr>
          </w:p>
        </w:tc>
        <w:tc>
          <w:tcPr>
            <w:tcW w:w="706"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Activity</w:t>
            </w:r>
          </w:p>
        </w:tc>
        <w:tc>
          <w:tcPr>
            <w:tcW w:w="904" w:type="pct"/>
            <w:shd w:val="clear" w:color="auto" w:fill="auto"/>
          </w:tcPr>
          <w:p w:rsidR="009E4CD6" w:rsidRPr="00A81965" w:rsidRDefault="009E4CD6" w:rsidP="00013950">
            <w:pPr>
              <w:spacing w:line="276" w:lineRule="auto"/>
              <w:rPr>
                <w:rFonts w:eastAsia="Calibri" w:cs="Arial"/>
                <w:sz w:val="22"/>
                <w:szCs w:val="22"/>
                <w:lang w:eastAsia="en-US"/>
              </w:rPr>
            </w:pPr>
            <w:r w:rsidRPr="00A81965">
              <w:rPr>
                <w:rFonts w:eastAsia="Calibri" w:cs="Arial"/>
                <w:sz w:val="22"/>
                <w:szCs w:val="22"/>
                <w:lang w:eastAsia="en-US"/>
              </w:rPr>
              <w:t>DAF/Inclusion grant</w:t>
            </w:r>
          </w:p>
          <w:p w:rsidR="009E4CD6" w:rsidRPr="00A81965" w:rsidRDefault="009E4CD6" w:rsidP="00013950">
            <w:pPr>
              <w:spacing w:line="276" w:lineRule="auto"/>
              <w:rPr>
                <w:rFonts w:eastAsia="Calibri" w:cs="Arial"/>
                <w:sz w:val="22"/>
                <w:szCs w:val="22"/>
                <w:lang w:eastAsia="en-US"/>
              </w:rPr>
            </w:pPr>
          </w:p>
        </w:tc>
      </w:tr>
    </w:tbl>
    <w:p w:rsidR="00401262" w:rsidRDefault="00401262"/>
    <w:sectPr w:rsidR="00401262" w:rsidSect="009E4CD6">
      <w:headerReference w:type="default" r:id="rId7"/>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D6" w:rsidRDefault="009E4CD6" w:rsidP="009E4CD6">
      <w:r>
        <w:separator/>
      </w:r>
    </w:p>
  </w:endnote>
  <w:endnote w:type="continuationSeparator" w:id="0">
    <w:p w:rsidR="009E4CD6" w:rsidRDefault="009E4CD6" w:rsidP="009E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D6" w:rsidRDefault="009E4CD6" w:rsidP="009E4CD6">
      <w:r>
        <w:separator/>
      </w:r>
    </w:p>
  </w:footnote>
  <w:footnote w:type="continuationSeparator" w:id="0">
    <w:p w:rsidR="009E4CD6" w:rsidRDefault="009E4CD6" w:rsidP="009E4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D6" w:rsidRDefault="009E4CD6">
    <w:pPr>
      <w:pStyle w:val="Header"/>
    </w:pPr>
    <w:r>
      <w:rPr>
        <w:noProof/>
        <w:sz w:val="32"/>
      </w:rPr>
      <w:drawing>
        <wp:inline distT="0" distB="0" distL="0" distR="0" wp14:anchorId="64FDE7B5" wp14:editId="7BAEEB7C">
          <wp:extent cx="5731510" cy="533216"/>
          <wp:effectExtent l="0" t="0" r="2540" b="635"/>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BC - black with new strapline_20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332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D6"/>
    <w:rsid w:val="00401262"/>
    <w:rsid w:val="009E4CD6"/>
    <w:rsid w:val="00E85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D6"/>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CD6"/>
    <w:pPr>
      <w:tabs>
        <w:tab w:val="center" w:pos="4513"/>
        <w:tab w:val="right" w:pos="9026"/>
      </w:tabs>
    </w:pPr>
  </w:style>
  <w:style w:type="character" w:customStyle="1" w:styleId="HeaderChar">
    <w:name w:val="Header Char"/>
    <w:basedOn w:val="DefaultParagraphFont"/>
    <w:link w:val="Header"/>
    <w:uiPriority w:val="99"/>
    <w:rsid w:val="009E4CD6"/>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9E4CD6"/>
    <w:pPr>
      <w:tabs>
        <w:tab w:val="center" w:pos="4513"/>
        <w:tab w:val="right" w:pos="9026"/>
      </w:tabs>
    </w:pPr>
  </w:style>
  <w:style w:type="character" w:customStyle="1" w:styleId="FooterChar">
    <w:name w:val="Footer Char"/>
    <w:basedOn w:val="DefaultParagraphFont"/>
    <w:link w:val="Footer"/>
    <w:uiPriority w:val="99"/>
    <w:rsid w:val="009E4CD6"/>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9E4CD6"/>
    <w:rPr>
      <w:rFonts w:ascii="Tahoma" w:hAnsi="Tahoma" w:cs="Tahoma"/>
      <w:sz w:val="16"/>
      <w:szCs w:val="16"/>
    </w:rPr>
  </w:style>
  <w:style w:type="character" w:customStyle="1" w:styleId="BalloonTextChar">
    <w:name w:val="Balloon Text Char"/>
    <w:basedOn w:val="DefaultParagraphFont"/>
    <w:link w:val="BalloonText"/>
    <w:uiPriority w:val="99"/>
    <w:semiHidden/>
    <w:rsid w:val="009E4CD6"/>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D6"/>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CD6"/>
    <w:pPr>
      <w:tabs>
        <w:tab w:val="center" w:pos="4513"/>
        <w:tab w:val="right" w:pos="9026"/>
      </w:tabs>
    </w:pPr>
  </w:style>
  <w:style w:type="character" w:customStyle="1" w:styleId="HeaderChar">
    <w:name w:val="Header Char"/>
    <w:basedOn w:val="DefaultParagraphFont"/>
    <w:link w:val="Header"/>
    <w:uiPriority w:val="99"/>
    <w:rsid w:val="009E4CD6"/>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9E4CD6"/>
    <w:pPr>
      <w:tabs>
        <w:tab w:val="center" w:pos="4513"/>
        <w:tab w:val="right" w:pos="9026"/>
      </w:tabs>
    </w:pPr>
  </w:style>
  <w:style w:type="character" w:customStyle="1" w:styleId="FooterChar">
    <w:name w:val="Footer Char"/>
    <w:basedOn w:val="DefaultParagraphFont"/>
    <w:link w:val="Footer"/>
    <w:uiPriority w:val="99"/>
    <w:rsid w:val="009E4CD6"/>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9E4CD6"/>
    <w:rPr>
      <w:rFonts w:ascii="Tahoma" w:hAnsi="Tahoma" w:cs="Tahoma"/>
      <w:sz w:val="16"/>
      <w:szCs w:val="16"/>
    </w:rPr>
  </w:style>
  <w:style w:type="character" w:customStyle="1" w:styleId="BalloonTextChar">
    <w:name w:val="Balloon Text Char"/>
    <w:basedOn w:val="DefaultParagraphFont"/>
    <w:link w:val="BalloonText"/>
    <w:uiPriority w:val="99"/>
    <w:semiHidden/>
    <w:rsid w:val="009E4CD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Clare</dc:creator>
  <cp:lastModifiedBy>Thompson Clare</cp:lastModifiedBy>
  <cp:revision>2</cp:revision>
  <dcterms:created xsi:type="dcterms:W3CDTF">2020-04-17T12:42:00Z</dcterms:created>
  <dcterms:modified xsi:type="dcterms:W3CDTF">2020-04-17T12:42:00Z</dcterms:modified>
</cp:coreProperties>
</file>