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13" w:rsidRPr="007E26D7" w:rsidRDefault="006B48F0" w:rsidP="00722536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Indicative </w:t>
      </w:r>
      <w:r w:rsidR="00432113" w:rsidRPr="007E26D7">
        <w:rPr>
          <w:b/>
          <w:sz w:val="24"/>
          <w:szCs w:val="24"/>
          <w:u w:val="single"/>
        </w:rPr>
        <w:t>School Offer</w:t>
      </w:r>
      <w:r w:rsidR="003567A9">
        <w:rPr>
          <w:b/>
          <w:sz w:val="24"/>
          <w:szCs w:val="24"/>
          <w:u w:val="single"/>
        </w:rPr>
        <w:t xml:space="preserve"> – September 2019</w:t>
      </w:r>
    </w:p>
    <w:tbl>
      <w:tblPr>
        <w:tblStyle w:val="TableGrid"/>
        <w:tblW w:w="5850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4950"/>
        <w:gridCol w:w="4949"/>
        <w:gridCol w:w="4949"/>
        <w:gridCol w:w="4949"/>
        <w:gridCol w:w="4949"/>
      </w:tblGrid>
      <w:tr w:rsidR="00F34BFD" w:rsidRPr="00763287" w:rsidTr="00F34BFD">
        <w:trPr>
          <w:trHeight w:val="302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:rsidR="00F34BFD" w:rsidRPr="00763287" w:rsidRDefault="00F34BFD" w:rsidP="002E14B4">
            <w:pPr>
              <w:jc w:val="center"/>
              <w:rPr>
                <w:b/>
              </w:rPr>
            </w:pPr>
            <w:r w:rsidRPr="00763287">
              <w:rPr>
                <w:b/>
              </w:rPr>
              <w:t>Services</w:t>
            </w:r>
          </w:p>
        </w:tc>
      </w:tr>
      <w:tr w:rsidR="00763287" w:rsidRPr="00763287" w:rsidTr="00CA75BB">
        <w:trPr>
          <w:trHeight w:val="302"/>
        </w:trPr>
        <w:tc>
          <w:tcPr>
            <w:tcW w:w="1000" w:type="pct"/>
            <w:shd w:val="clear" w:color="auto" w:fill="95B3D7" w:themeFill="accent1" w:themeFillTint="99"/>
          </w:tcPr>
          <w:p w:rsidR="00763287" w:rsidRPr="00763287" w:rsidRDefault="00763287" w:rsidP="008117A5">
            <w:pPr>
              <w:jc w:val="center"/>
              <w:rPr>
                <w:b/>
              </w:rPr>
            </w:pPr>
            <w:r w:rsidRPr="00763287">
              <w:rPr>
                <w:b/>
                <w:bCs/>
              </w:rPr>
              <w:t>Core Offer (maintained)</w:t>
            </w: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8117A5" w:rsidP="008117A5">
            <w:pPr>
              <w:jc w:val="center"/>
              <w:rPr>
                <w:b/>
              </w:rPr>
            </w:pPr>
            <w:r>
              <w:rPr>
                <w:b/>
              </w:rPr>
              <w:t>Core Offer (a</w:t>
            </w:r>
            <w:r w:rsidR="00763287" w:rsidRPr="00763287">
              <w:rPr>
                <w:b/>
              </w:rPr>
              <w:t>cademies)</w:t>
            </w:r>
          </w:p>
        </w:tc>
        <w:tc>
          <w:tcPr>
            <w:tcW w:w="1000" w:type="pct"/>
            <w:shd w:val="clear" w:color="auto" w:fill="C2D69B" w:themeFill="accent3" w:themeFillTint="99"/>
          </w:tcPr>
          <w:p w:rsidR="00763287" w:rsidRPr="00763287" w:rsidRDefault="00763287" w:rsidP="008117A5">
            <w:pPr>
              <w:jc w:val="center"/>
              <w:rPr>
                <w:b/>
                <w:bCs/>
              </w:rPr>
            </w:pPr>
            <w:r w:rsidRPr="00763287">
              <w:rPr>
                <w:b/>
                <w:bCs/>
              </w:rPr>
              <w:t>Subscription</w:t>
            </w:r>
            <w:r>
              <w:rPr>
                <w:b/>
                <w:bCs/>
              </w:rPr>
              <w:t xml:space="preserve"> (maintained)</w:t>
            </w:r>
          </w:p>
        </w:tc>
        <w:tc>
          <w:tcPr>
            <w:tcW w:w="1000" w:type="pct"/>
            <w:shd w:val="clear" w:color="auto" w:fill="76923C" w:themeFill="accent3" w:themeFillShade="BF"/>
          </w:tcPr>
          <w:p w:rsidR="00763287" w:rsidRPr="00763287" w:rsidRDefault="00763287" w:rsidP="008117A5">
            <w:pPr>
              <w:jc w:val="center"/>
              <w:rPr>
                <w:b/>
                <w:bCs/>
              </w:rPr>
            </w:pPr>
            <w:r w:rsidRPr="00763287">
              <w:rPr>
                <w:b/>
                <w:bCs/>
              </w:rPr>
              <w:t>Subscription</w:t>
            </w:r>
            <w:r w:rsidR="008117A5">
              <w:rPr>
                <w:b/>
                <w:bCs/>
              </w:rPr>
              <w:t xml:space="preserve"> </w:t>
            </w:r>
            <w:r w:rsidR="008117A5" w:rsidRPr="00763287">
              <w:rPr>
                <w:b/>
                <w:bCs/>
              </w:rPr>
              <w:t>(</w:t>
            </w:r>
            <w:r w:rsidR="008117A5">
              <w:rPr>
                <w:b/>
                <w:bCs/>
              </w:rPr>
              <w:t>academies</w:t>
            </w:r>
            <w:r w:rsidR="008117A5" w:rsidRPr="00763287">
              <w:rPr>
                <w:b/>
                <w:bCs/>
              </w:rPr>
              <w:t>)</w:t>
            </w:r>
          </w:p>
        </w:tc>
        <w:tc>
          <w:tcPr>
            <w:tcW w:w="1000" w:type="pct"/>
            <w:shd w:val="clear" w:color="auto" w:fill="B2A1C7" w:themeFill="accent4" w:themeFillTint="99"/>
          </w:tcPr>
          <w:p w:rsidR="00763287" w:rsidRPr="00763287" w:rsidRDefault="00763287" w:rsidP="008117A5">
            <w:pPr>
              <w:jc w:val="center"/>
              <w:rPr>
                <w:b/>
                <w:bCs/>
              </w:rPr>
            </w:pPr>
            <w:r w:rsidRPr="00763287">
              <w:rPr>
                <w:b/>
                <w:bCs/>
              </w:rPr>
              <w:t>Pay As You Go</w:t>
            </w:r>
          </w:p>
        </w:tc>
      </w:tr>
      <w:tr w:rsidR="00763287" w:rsidRPr="00763287" w:rsidTr="00CA75BB">
        <w:trPr>
          <w:trHeight w:val="302"/>
        </w:trPr>
        <w:tc>
          <w:tcPr>
            <w:tcW w:w="1000" w:type="pct"/>
            <w:shd w:val="clear" w:color="auto" w:fill="95B3D7" w:themeFill="accent1" w:themeFillTint="99"/>
          </w:tcPr>
          <w:p w:rsidR="00763287" w:rsidRPr="00763287" w:rsidRDefault="00763287">
            <w:pPr>
              <w:rPr>
                <w:b/>
                <w:bCs/>
              </w:rPr>
            </w:pPr>
            <w:r w:rsidRPr="00763287">
              <w:rPr>
                <w:b/>
                <w:bCs/>
              </w:rPr>
              <w:t>Council Leadership</w:t>
            </w: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>
            <w:pPr>
              <w:rPr>
                <w:b/>
              </w:rPr>
            </w:pPr>
            <w:r w:rsidRPr="00763287">
              <w:rPr>
                <w:b/>
                <w:bCs/>
              </w:rPr>
              <w:t>Council Leadership</w:t>
            </w:r>
          </w:p>
        </w:tc>
        <w:tc>
          <w:tcPr>
            <w:tcW w:w="1000" w:type="pct"/>
            <w:shd w:val="clear" w:color="auto" w:fill="C2D69B" w:themeFill="accent3" w:themeFillTint="99"/>
          </w:tcPr>
          <w:p w:rsidR="00763287" w:rsidRPr="00763287" w:rsidRDefault="00763287" w:rsidP="00763287">
            <w:pPr>
              <w:rPr>
                <w:b/>
                <w:bCs/>
              </w:rPr>
            </w:pPr>
            <w:r w:rsidRPr="00763287">
              <w:rPr>
                <w:b/>
                <w:bCs/>
              </w:rPr>
              <w:t>Council Leadership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00" w:type="pct"/>
            <w:shd w:val="clear" w:color="auto" w:fill="76923C" w:themeFill="accent3" w:themeFillShade="BF"/>
          </w:tcPr>
          <w:p w:rsidR="00763287" w:rsidRPr="00763287" w:rsidRDefault="00763287" w:rsidP="008117A5">
            <w:pPr>
              <w:rPr>
                <w:b/>
                <w:bCs/>
              </w:rPr>
            </w:pPr>
            <w:r w:rsidRPr="00763287">
              <w:rPr>
                <w:b/>
                <w:bCs/>
              </w:rPr>
              <w:t xml:space="preserve">Council Leadership </w:t>
            </w:r>
          </w:p>
        </w:tc>
        <w:tc>
          <w:tcPr>
            <w:tcW w:w="1000" w:type="pct"/>
            <w:shd w:val="clear" w:color="auto" w:fill="B2A1C7" w:themeFill="accent4" w:themeFillTint="99"/>
          </w:tcPr>
          <w:p w:rsidR="00763287" w:rsidRPr="00763287" w:rsidRDefault="00763287" w:rsidP="002E14B4">
            <w:pPr>
              <w:rPr>
                <w:b/>
                <w:bCs/>
              </w:rPr>
            </w:pPr>
            <w:r w:rsidRPr="00763287">
              <w:rPr>
                <w:b/>
                <w:bCs/>
              </w:rPr>
              <w:t>Council Leadership</w:t>
            </w:r>
          </w:p>
        </w:tc>
      </w:tr>
      <w:tr w:rsidR="00763287" w:rsidRPr="00763287" w:rsidTr="00CA75BB">
        <w:trPr>
          <w:trHeight w:val="1560"/>
        </w:trPr>
        <w:tc>
          <w:tcPr>
            <w:tcW w:w="1000" w:type="pct"/>
            <w:shd w:val="clear" w:color="auto" w:fill="95B3D7" w:themeFill="accent1" w:themeFillTint="99"/>
            <w:hideMark/>
          </w:tcPr>
          <w:p w:rsidR="00763287" w:rsidRPr="00763287" w:rsidRDefault="00763287" w:rsidP="00EA1922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763287">
              <w:t xml:space="preserve">Strategic Leadership </w:t>
            </w:r>
          </w:p>
          <w:p w:rsidR="00763287" w:rsidRPr="00763287" w:rsidRDefault="00763287" w:rsidP="00EA1922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763287">
              <w:t>(policy, strategy, communications)</w:t>
            </w:r>
          </w:p>
          <w:p w:rsidR="00763287" w:rsidRPr="00763287" w:rsidRDefault="00763287" w:rsidP="00EA1922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763287">
              <w:t>DFE/Ofsted/RSC Liaison</w:t>
            </w:r>
          </w:p>
          <w:p w:rsidR="00763287" w:rsidRPr="00763287" w:rsidRDefault="00763287" w:rsidP="00EA1922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763287">
              <w:t>Breakfast briefings for school leaders and governors (hosted by SBC twice a year)</w:t>
            </w:r>
          </w:p>
          <w:p w:rsidR="0039697F" w:rsidRPr="00763287" w:rsidRDefault="0039697F" w:rsidP="0039697F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763287">
              <w:t>Partnership Boards</w:t>
            </w:r>
          </w:p>
          <w:p w:rsidR="0039697F" w:rsidRDefault="0039697F" w:rsidP="001A56DA">
            <w:pPr>
              <w:pStyle w:val="ListParagraph"/>
              <w:numPr>
                <w:ilvl w:val="0"/>
                <w:numId w:val="10"/>
              </w:numPr>
              <w:ind w:left="720"/>
            </w:pPr>
            <w:r w:rsidRPr="00763287">
              <w:t>SEPB</w:t>
            </w:r>
          </w:p>
          <w:p w:rsidR="001A56DA" w:rsidRPr="00763287" w:rsidRDefault="001A56DA" w:rsidP="001A56DA">
            <w:pPr>
              <w:pStyle w:val="ListParagraph"/>
              <w:numPr>
                <w:ilvl w:val="0"/>
                <w:numId w:val="10"/>
              </w:numPr>
              <w:ind w:left="720"/>
            </w:pPr>
            <w:r>
              <w:t xml:space="preserve">SSIB </w:t>
            </w:r>
          </w:p>
          <w:p w:rsidR="0039697F" w:rsidRPr="00763287" w:rsidRDefault="0039697F" w:rsidP="0039697F">
            <w:pPr>
              <w:pStyle w:val="ListParagraph"/>
              <w:numPr>
                <w:ilvl w:val="0"/>
                <w:numId w:val="10"/>
              </w:numPr>
              <w:ind w:left="720"/>
            </w:pPr>
            <w:r w:rsidRPr="00763287">
              <w:t>SEND Partnership</w:t>
            </w:r>
          </w:p>
          <w:p w:rsidR="0039697F" w:rsidRPr="00763287" w:rsidRDefault="0039697F" w:rsidP="0039697F">
            <w:pPr>
              <w:pStyle w:val="ListParagraph"/>
              <w:numPr>
                <w:ilvl w:val="0"/>
                <w:numId w:val="10"/>
              </w:numPr>
              <w:ind w:left="720"/>
            </w:pPr>
            <w:r w:rsidRPr="00763287">
              <w:t>Early Help</w:t>
            </w:r>
          </w:p>
          <w:p w:rsidR="00763287" w:rsidRPr="00763287" w:rsidRDefault="00763287" w:rsidP="00EC109B"/>
          <w:p w:rsidR="00763287" w:rsidRPr="00763287" w:rsidRDefault="00763287" w:rsidP="00EC109B"/>
          <w:p w:rsidR="00763287" w:rsidRPr="00763287" w:rsidRDefault="00763287" w:rsidP="00EC109B"/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 w:rsidP="00EA1922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763287">
              <w:t xml:space="preserve">Strategic Leadership </w:t>
            </w:r>
          </w:p>
          <w:p w:rsidR="00763287" w:rsidRPr="00763287" w:rsidRDefault="00763287" w:rsidP="00EA1922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763287">
              <w:t>(policy, strategy, communications)</w:t>
            </w:r>
          </w:p>
          <w:p w:rsidR="00763287" w:rsidRPr="00763287" w:rsidRDefault="00763287" w:rsidP="00EA1922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763287">
              <w:t>DFE/Ofsted/RSC Liaison</w:t>
            </w:r>
          </w:p>
          <w:p w:rsidR="00763287" w:rsidRPr="00763287" w:rsidRDefault="00763287" w:rsidP="00EA1922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763287">
              <w:t>Breakfast briefings for school leaders and governors (hosted by SBC twice a year)</w:t>
            </w:r>
          </w:p>
          <w:p w:rsidR="0039697F" w:rsidRPr="00763287" w:rsidRDefault="0039697F" w:rsidP="0039697F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763287">
              <w:t>Partnership Boards</w:t>
            </w:r>
          </w:p>
          <w:p w:rsidR="0039697F" w:rsidRPr="00763287" w:rsidRDefault="0039697F" w:rsidP="0039697F">
            <w:pPr>
              <w:pStyle w:val="ListParagraph"/>
              <w:numPr>
                <w:ilvl w:val="0"/>
                <w:numId w:val="10"/>
              </w:numPr>
              <w:ind w:left="720"/>
            </w:pPr>
            <w:r w:rsidRPr="00763287">
              <w:t>SEPB</w:t>
            </w:r>
          </w:p>
          <w:p w:rsidR="0039697F" w:rsidRPr="00763287" w:rsidRDefault="0039697F" w:rsidP="0039697F">
            <w:pPr>
              <w:pStyle w:val="ListParagraph"/>
              <w:numPr>
                <w:ilvl w:val="0"/>
                <w:numId w:val="10"/>
              </w:numPr>
              <w:ind w:left="720"/>
            </w:pPr>
            <w:r w:rsidRPr="00763287">
              <w:t>SSIB</w:t>
            </w:r>
          </w:p>
          <w:p w:rsidR="0039697F" w:rsidRPr="00763287" w:rsidRDefault="0039697F" w:rsidP="0039697F">
            <w:pPr>
              <w:pStyle w:val="ListParagraph"/>
              <w:numPr>
                <w:ilvl w:val="0"/>
                <w:numId w:val="10"/>
              </w:numPr>
              <w:ind w:left="720"/>
            </w:pPr>
            <w:r w:rsidRPr="00763287">
              <w:t>SEND Partnership</w:t>
            </w:r>
          </w:p>
          <w:p w:rsidR="0039697F" w:rsidRPr="00763287" w:rsidRDefault="0039697F" w:rsidP="0039697F">
            <w:pPr>
              <w:pStyle w:val="ListParagraph"/>
              <w:numPr>
                <w:ilvl w:val="0"/>
                <w:numId w:val="10"/>
              </w:numPr>
              <w:ind w:left="720"/>
            </w:pPr>
            <w:r w:rsidRPr="00763287">
              <w:t>Early Help</w:t>
            </w:r>
          </w:p>
          <w:p w:rsidR="00763287" w:rsidRPr="00763287" w:rsidRDefault="00763287" w:rsidP="002C3D37"/>
        </w:tc>
        <w:tc>
          <w:tcPr>
            <w:tcW w:w="1000" w:type="pct"/>
            <w:shd w:val="clear" w:color="auto" w:fill="C2D69B" w:themeFill="accent3" w:themeFillTint="99"/>
            <w:hideMark/>
          </w:tcPr>
          <w:p w:rsidR="002C3D37" w:rsidRDefault="00763287" w:rsidP="002C3D37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8117A5">
              <w:rPr>
                <w:b/>
              </w:rPr>
              <w:t>Three</w:t>
            </w:r>
            <w:r w:rsidRPr="00763287">
              <w:t xml:space="preserve"> (termly)  Seminars facilitated by SBC and school leaders</w:t>
            </w:r>
            <w:r w:rsidR="002C3D37" w:rsidRPr="00763287">
              <w:t xml:space="preserve"> </w:t>
            </w:r>
          </w:p>
          <w:p w:rsidR="002C3D37" w:rsidRPr="00763287" w:rsidRDefault="002C3D37" w:rsidP="002C3D37">
            <w:pPr>
              <w:pStyle w:val="ListParagraph"/>
              <w:numPr>
                <w:ilvl w:val="0"/>
                <w:numId w:val="13"/>
              </w:numPr>
              <w:ind w:left="360"/>
            </w:pPr>
            <w:r w:rsidRPr="00763287">
              <w:t>Communication</w:t>
            </w:r>
          </w:p>
          <w:p w:rsidR="002C3D37" w:rsidRPr="00763287" w:rsidRDefault="002C3D37" w:rsidP="002C3D37">
            <w:pPr>
              <w:pStyle w:val="ListParagraph"/>
              <w:numPr>
                <w:ilvl w:val="0"/>
                <w:numId w:val="20"/>
              </w:numPr>
            </w:pPr>
            <w:r w:rsidRPr="00763287">
              <w:t>The Link Website</w:t>
            </w:r>
          </w:p>
          <w:p w:rsidR="002C3D37" w:rsidRPr="00763287" w:rsidRDefault="002C3D37" w:rsidP="002C3D37">
            <w:pPr>
              <w:pStyle w:val="ListParagraph"/>
              <w:numPr>
                <w:ilvl w:val="0"/>
                <w:numId w:val="20"/>
              </w:numPr>
            </w:pPr>
            <w:r w:rsidRPr="00763287">
              <w:t>Weekly communication bulletin from the council</w:t>
            </w:r>
          </w:p>
          <w:p w:rsidR="00763287" w:rsidRPr="00763287" w:rsidRDefault="00763287" w:rsidP="0039697F">
            <w:pPr>
              <w:pStyle w:val="ListParagraph"/>
              <w:ind w:left="414"/>
            </w:pPr>
          </w:p>
        </w:tc>
        <w:tc>
          <w:tcPr>
            <w:tcW w:w="1000" w:type="pct"/>
            <w:shd w:val="clear" w:color="auto" w:fill="76923C" w:themeFill="accent3" w:themeFillShade="BF"/>
          </w:tcPr>
          <w:p w:rsidR="002C3D37" w:rsidRDefault="00763287" w:rsidP="002C3D37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8117A5">
              <w:rPr>
                <w:b/>
              </w:rPr>
              <w:t>Three</w:t>
            </w:r>
            <w:r w:rsidRPr="008117A5">
              <w:t xml:space="preserve"> (termly)  Seminars facilitated by SBC and school leaders</w:t>
            </w:r>
            <w:r w:rsidR="002C3D37" w:rsidRPr="00763287">
              <w:t xml:space="preserve"> </w:t>
            </w:r>
          </w:p>
          <w:p w:rsidR="002C3D37" w:rsidRPr="00763287" w:rsidRDefault="002C3D37" w:rsidP="002C3D37">
            <w:pPr>
              <w:pStyle w:val="ListParagraph"/>
              <w:numPr>
                <w:ilvl w:val="0"/>
                <w:numId w:val="13"/>
              </w:numPr>
              <w:ind w:left="360"/>
            </w:pPr>
            <w:r w:rsidRPr="00763287">
              <w:t>Communication</w:t>
            </w:r>
          </w:p>
          <w:p w:rsidR="002C3D37" w:rsidRPr="00763287" w:rsidRDefault="002C3D37" w:rsidP="002C3D37">
            <w:pPr>
              <w:pStyle w:val="ListParagraph"/>
              <w:numPr>
                <w:ilvl w:val="0"/>
                <w:numId w:val="15"/>
              </w:numPr>
              <w:ind w:left="720"/>
            </w:pPr>
            <w:r w:rsidRPr="00763287">
              <w:t>The Link Website</w:t>
            </w:r>
          </w:p>
          <w:p w:rsidR="00763287" w:rsidRPr="00763287" w:rsidRDefault="002C3D37" w:rsidP="002C3D37">
            <w:r w:rsidRPr="00763287">
              <w:t>Weekly communication bulletin from the council</w:t>
            </w:r>
          </w:p>
        </w:tc>
        <w:tc>
          <w:tcPr>
            <w:tcW w:w="1000" w:type="pct"/>
            <w:shd w:val="clear" w:color="auto" w:fill="B2A1C7" w:themeFill="accent4" w:themeFillTint="99"/>
            <w:hideMark/>
          </w:tcPr>
          <w:p w:rsidR="00763287" w:rsidRPr="00763287" w:rsidRDefault="00CA75BB">
            <w:r>
              <w:t>Seminars - TBC</w:t>
            </w:r>
          </w:p>
        </w:tc>
      </w:tr>
      <w:tr w:rsidR="00763287" w:rsidRPr="00763287" w:rsidTr="00CA75BB">
        <w:trPr>
          <w:trHeight w:val="399"/>
        </w:trPr>
        <w:tc>
          <w:tcPr>
            <w:tcW w:w="1000" w:type="pct"/>
            <w:shd w:val="clear" w:color="auto" w:fill="95B3D7" w:themeFill="accent1" w:themeFillTint="99"/>
          </w:tcPr>
          <w:p w:rsidR="00763287" w:rsidRPr="00763287" w:rsidRDefault="00763287" w:rsidP="00893B11">
            <w:pPr>
              <w:rPr>
                <w:b/>
              </w:rPr>
            </w:pPr>
            <w:r w:rsidRPr="00763287">
              <w:rPr>
                <w:b/>
              </w:rPr>
              <w:t xml:space="preserve">School Improvement </w:t>
            </w: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>
            <w:pPr>
              <w:rPr>
                <w:b/>
              </w:rPr>
            </w:pPr>
            <w:r w:rsidRPr="00763287">
              <w:rPr>
                <w:b/>
              </w:rPr>
              <w:t xml:space="preserve">School Improvement </w:t>
            </w:r>
          </w:p>
        </w:tc>
        <w:tc>
          <w:tcPr>
            <w:tcW w:w="1000" w:type="pct"/>
            <w:shd w:val="clear" w:color="auto" w:fill="C2D69B" w:themeFill="accent3" w:themeFillTint="99"/>
          </w:tcPr>
          <w:p w:rsidR="00763287" w:rsidRPr="00763287" w:rsidRDefault="00763287">
            <w:r w:rsidRPr="00763287">
              <w:rPr>
                <w:b/>
              </w:rPr>
              <w:t>School Improvement</w:t>
            </w:r>
          </w:p>
        </w:tc>
        <w:tc>
          <w:tcPr>
            <w:tcW w:w="1000" w:type="pct"/>
            <w:shd w:val="clear" w:color="auto" w:fill="76923C" w:themeFill="accent3" w:themeFillShade="BF"/>
          </w:tcPr>
          <w:p w:rsidR="00763287" w:rsidRPr="00763287" w:rsidRDefault="00763287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B2A1C7" w:themeFill="accent4" w:themeFillTint="99"/>
          </w:tcPr>
          <w:p w:rsidR="00763287" w:rsidRPr="00763287" w:rsidRDefault="00763287">
            <w:r w:rsidRPr="00763287">
              <w:rPr>
                <w:b/>
              </w:rPr>
              <w:t>School Improvement</w:t>
            </w:r>
          </w:p>
        </w:tc>
      </w:tr>
      <w:tr w:rsidR="00763287" w:rsidRPr="00763287" w:rsidTr="00CA75BB">
        <w:trPr>
          <w:trHeight w:val="945"/>
        </w:trPr>
        <w:tc>
          <w:tcPr>
            <w:tcW w:w="1000" w:type="pct"/>
            <w:shd w:val="clear" w:color="auto" w:fill="95B3D7" w:themeFill="accent1" w:themeFillTint="99"/>
            <w:hideMark/>
          </w:tcPr>
          <w:p w:rsidR="00763287" w:rsidRPr="0055681C" w:rsidRDefault="00763287" w:rsidP="002C3D37">
            <w:pPr>
              <w:pStyle w:val="ListParagraph"/>
              <w:numPr>
                <w:ilvl w:val="0"/>
                <w:numId w:val="3"/>
              </w:numPr>
              <w:rPr>
                <w:highlight w:val="green"/>
              </w:rPr>
            </w:pPr>
            <w:r w:rsidRPr="0055681C">
              <w:rPr>
                <w:highlight w:val="green"/>
              </w:rPr>
              <w:t>2 day</w:t>
            </w:r>
            <w:r w:rsidR="008A37A0" w:rsidRPr="0055681C">
              <w:rPr>
                <w:highlight w:val="green"/>
              </w:rPr>
              <w:t>s</w:t>
            </w:r>
            <w:r w:rsidRPr="0055681C">
              <w:rPr>
                <w:highlight w:val="green"/>
              </w:rPr>
              <w:t xml:space="preserve"> of School Effectiveness Partner (SEP) support (Autumn Term Visit)</w:t>
            </w:r>
          </w:p>
          <w:p w:rsidR="00012059" w:rsidRPr="00763287" w:rsidRDefault="00012059" w:rsidP="002C3D37">
            <w:pPr>
              <w:pStyle w:val="ListParagraph"/>
              <w:numPr>
                <w:ilvl w:val="0"/>
                <w:numId w:val="3"/>
              </w:numPr>
            </w:pPr>
            <w:r w:rsidRPr="00CA75BB">
              <w:t>LA formal support and intervention for Schools Causing Concern</w:t>
            </w: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 w:rsidP="00C2236A">
            <w:pPr>
              <w:pStyle w:val="ListParagraph"/>
              <w:numPr>
                <w:ilvl w:val="0"/>
                <w:numId w:val="3"/>
              </w:numPr>
            </w:pPr>
            <w:r w:rsidRPr="00763287">
              <w:t>Half a day annual conversation with council linked to CRE evaluation</w:t>
            </w:r>
          </w:p>
          <w:p w:rsidR="00763287" w:rsidRPr="00763287" w:rsidRDefault="00763287" w:rsidP="00893B11"/>
          <w:p w:rsidR="00763287" w:rsidRPr="00763287" w:rsidRDefault="00763287" w:rsidP="00893B11"/>
          <w:p w:rsidR="00763287" w:rsidRPr="00763287" w:rsidRDefault="00763287" w:rsidP="00893B11"/>
          <w:p w:rsidR="00763287" w:rsidRPr="00763287" w:rsidRDefault="00763287" w:rsidP="00893B11"/>
          <w:p w:rsidR="00763287" w:rsidRPr="00763287" w:rsidRDefault="00763287" w:rsidP="00893B11"/>
          <w:p w:rsidR="00763287" w:rsidRPr="00763287" w:rsidRDefault="00763287" w:rsidP="00893B11"/>
          <w:p w:rsidR="00763287" w:rsidRPr="00763287" w:rsidRDefault="00763287" w:rsidP="00893B11"/>
          <w:p w:rsidR="00763287" w:rsidRPr="00763287" w:rsidRDefault="00763287" w:rsidP="00893B11"/>
          <w:p w:rsidR="00763287" w:rsidRPr="00763287" w:rsidRDefault="00763287" w:rsidP="00893B11"/>
          <w:p w:rsidR="00763287" w:rsidRPr="00763287" w:rsidRDefault="00763287" w:rsidP="00893B11"/>
          <w:p w:rsidR="00763287" w:rsidRPr="00763287" w:rsidRDefault="00763287" w:rsidP="00893B11"/>
          <w:p w:rsidR="00763287" w:rsidRPr="00763287" w:rsidRDefault="00763287" w:rsidP="00893B11"/>
        </w:tc>
        <w:tc>
          <w:tcPr>
            <w:tcW w:w="1000" w:type="pct"/>
            <w:shd w:val="clear" w:color="auto" w:fill="C2D69B" w:themeFill="accent3" w:themeFillTint="99"/>
            <w:hideMark/>
          </w:tcPr>
          <w:p w:rsidR="002C3D37" w:rsidRPr="00CA75BB" w:rsidRDefault="00012059" w:rsidP="002C3D37">
            <w:pPr>
              <w:pStyle w:val="ListParagraph"/>
              <w:numPr>
                <w:ilvl w:val="0"/>
                <w:numId w:val="3"/>
              </w:numPr>
            </w:pPr>
            <w:r w:rsidRPr="00CA75BB">
              <w:t>Additional 4</w:t>
            </w:r>
            <w:r w:rsidR="002C3D37" w:rsidRPr="00CA75BB">
              <w:t xml:space="preserve"> days of</w:t>
            </w:r>
            <w:r w:rsidRPr="00CA75BB">
              <w:t xml:space="preserve"> SEP support from the pool of SBC consultants to be used at the discretion of the school. Days can also be pooled with other schools for collaborative projects </w:t>
            </w:r>
          </w:p>
          <w:p w:rsidR="001A56DA" w:rsidRPr="00CA75BB" w:rsidRDefault="001A56DA" w:rsidP="002C3D37">
            <w:pPr>
              <w:pStyle w:val="ListParagraph"/>
              <w:numPr>
                <w:ilvl w:val="0"/>
                <w:numId w:val="3"/>
              </w:numPr>
            </w:pPr>
            <w:r w:rsidRPr="00CA75BB">
              <w:t>The Key for School Leaders</w:t>
            </w:r>
          </w:p>
          <w:p w:rsidR="00763287" w:rsidRPr="00763287" w:rsidRDefault="00763287" w:rsidP="00FB5B8C">
            <w:pPr>
              <w:pStyle w:val="ListParagraph"/>
              <w:numPr>
                <w:ilvl w:val="0"/>
                <w:numId w:val="3"/>
              </w:numPr>
            </w:pPr>
            <w:r w:rsidRPr="00763287">
              <w:t>Leadership network meetings</w:t>
            </w:r>
          </w:p>
          <w:p w:rsidR="00763287" w:rsidRPr="00763287" w:rsidRDefault="00763287" w:rsidP="00FB5B8C">
            <w:pPr>
              <w:pStyle w:val="ListParagraph"/>
              <w:numPr>
                <w:ilvl w:val="0"/>
                <w:numId w:val="12"/>
              </w:numPr>
              <w:ind w:left="720"/>
            </w:pPr>
            <w:r w:rsidRPr="00763287">
              <w:t xml:space="preserve">One facilitated </w:t>
            </w:r>
            <w:r w:rsidRPr="00763287">
              <w:rPr>
                <w:b/>
              </w:rPr>
              <w:t>senior leader</w:t>
            </w:r>
            <w:r w:rsidRPr="00763287">
              <w:t xml:space="preserve"> network meeting  once per half term (one primary, one secondary)</w:t>
            </w:r>
          </w:p>
          <w:p w:rsidR="00763287" w:rsidRPr="00763287" w:rsidRDefault="00763287" w:rsidP="00FB5B8C">
            <w:pPr>
              <w:pStyle w:val="ListParagraph"/>
              <w:numPr>
                <w:ilvl w:val="0"/>
                <w:numId w:val="12"/>
              </w:numPr>
              <w:ind w:left="720"/>
            </w:pPr>
            <w:r w:rsidRPr="00763287">
              <w:t xml:space="preserve">One facilitated </w:t>
            </w:r>
            <w:r w:rsidRPr="00763287">
              <w:rPr>
                <w:b/>
              </w:rPr>
              <w:t>network</w:t>
            </w:r>
            <w:r w:rsidRPr="00763287">
              <w:t xml:space="preserve"> meetings such as curriculum or subject meetings (one primary, one secondary)</w:t>
            </w:r>
          </w:p>
          <w:p w:rsidR="00763287" w:rsidRPr="00763287" w:rsidRDefault="00763287" w:rsidP="00893B11"/>
        </w:tc>
        <w:tc>
          <w:tcPr>
            <w:tcW w:w="1000" w:type="pct"/>
            <w:shd w:val="clear" w:color="auto" w:fill="76923C" w:themeFill="accent3" w:themeFillShade="BF"/>
          </w:tcPr>
          <w:p w:rsidR="00FB5B8C" w:rsidRPr="00CA75BB" w:rsidRDefault="00012059" w:rsidP="00FB5B8C">
            <w:pPr>
              <w:pStyle w:val="ListParagraph"/>
              <w:numPr>
                <w:ilvl w:val="0"/>
                <w:numId w:val="3"/>
              </w:numPr>
            </w:pPr>
            <w:r w:rsidRPr="00CA75BB">
              <w:t>4</w:t>
            </w:r>
            <w:r w:rsidR="002C3D37" w:rsidRPr="00CA75BB">
              <w:t xml:space="preserve"> </w:t>
            </w:r>
            <w:r w:rsidR="00FB5B8C" w:rsidRPr="00CA75BB">
              <w:t>days of school effectiveness partner suppo</w:t>
            </w:r>
            <w:r w:rsidRPr="00CA75BB">
              <w:t>rt from pool of SBC consultants to be used at the discretion of the school. days can also be pooled with other schools for collaborative projects</w:t>
            </w:r>
          </w:p>
          <w:p w:rsidR="001A56DA" w:rsidRPr="00CA75BB" w:rsidRDefault="001A56DA" w:rsidP="00FB5B8C">
            <w:pPr>
              <w:pStyle w:val="ListParagraph"/>
              <w:numPr>
                <w:ilvl w:val="0"/>
                <w:numId w:val="3"/>
              </w:numPr>
            </w:pPr>
            <w:r w:rsidRPr="00CA75BB">
              <w:t>The Key for School Leaders</w:t>
            </w:r>
          </w:p>
          <w:p w:rsidR="00EA1922" w:rsidRPr="00EA1922" w:rsidRDefault="00EA1922" w:rsidP="00EA1922">
            <w:pPr>
              <w:pStyle w:val="ListParagraph"/>
              <w:numPr>
                <w:ilvl w:val="0"/>
                <w:numId w:val="3"/>
              </w:numPr>
            </w:pPr>
            <w:r w:rsidRPr="00EA1922">
              <w:t>Leadership network meetings</w:t>
            </w:r>
          </w:p>
          <w:p w:rsidR="00EA1922" w:rsidRPr="00EA1922" w:rsidRDefault="00EA1922" w:rsidP="00EA1922">
            <w:pPr>
              <w:pStyle w:val="ListParagraph"/>
              <w:numPr>
                <w:ilvl w:val="0"/>
                <w:numId w:val="21"/>
              </w:numPr>
            </w:pPr>
            <w:r w:rsidRPr="00EA1922">
              <w:t xml:space="preserve">One facilitated </w:t>
            </w:r>
            <w:r w:rsidRPr="00EA1922">
              <w:rPr>
                <w:b/>
              </w:rPr>
              <w:t>senior leader</w:t>
            </w:r>
            <w:r w:rsidRPr="00EA1922">
              <w:t xml:space="preserve"> network meeting  once per half term (one primary, one secondary)</w:t>
            </w:r>
          </w:p>
          <w:p w:rsidR="00763287" w:rsidRPr="00763287" w:rsidRDefault="00EA1922" w:rsidP="00633E7C">
            <w:pPr>
              <w:pStyle w:val="ListParagraph"/>
              <w:numPr>
                <w:ilvl w:val="0"/>
                <w:numId w:val="21"/>
              </w:numPr>
            </w:pPr>
            <w:r w:rsidRPr="00EA1922">
              <w:t xml:space="preserve">One facilitated </w:t>
            </w:r>
            <w:r w:rsidRPr="00EA1922">
              <w:rPr>
                <w:b/>
              </w:rPr>
              <w:t>network</w:t>
            </w:r>
            <w:r w:rsidRPr="00EA1922">
              <w:t xml:space="preserve"> meetings such as curriculum or subject meetings (one primary, one secondary)</w:t>
            </w:r>
          </w:p>
        </w:tc>
        <w:tc>
          <w:tcPr>
            <w:tcW w:w="1000" w:type="pct"/>
            <w:shd w:val="clear" w:color="auto" w:fill="B2A1C7" w:themeFill="accent4" w:themeFillTint="99"/>
            <w:hideMark/>
          </w:tcPr>
          <w:p w:rsidR="00763287" w:rsidRPr="00763287" w:rsidRDefault="00763287" w:rsidP="0036152C">
            <w:pPr>
              <w:pStyle w:val="ListParagraph"/>
              <w:numPr>
                <w:ilvl w:val="0"/>
                <w:numId w:val="3"/>
              </w:numPr>
            </w:pPr>
            <w:r w:rsidRPr="00763287">
              <w:t xml:space="preserve">Additional days by negotiation and potential discounted rates </w:t>
            </w:r>
          </w:p>
        </w:tc>
      </w:tr>
      <w:tr w:rsidR="00763287" w:rsidRPr="00763287" w:rsidTr="00CA75BB">
        <w:trPr>
          <w:trHeight w:val="315"/>
        </w:trPr>
        <w:tc>
          <w:tcPr>
            <w:tcW w:w="1000" w:type="pct"/>
            <w:shd w:val="clear" w:color="auto" w:fill="95B3D7" w:themeFill="accent1" w:themeFillTint="99"/>
          </w:tcPr>
          <w:p w:rsidR="00763287" w:rsidRPr="00763287" w:rsidRDefault="00763287" w:rsidP="00EC109B">
            <w:pPr>
              <w:rPr>
                <w:b/>
              </w:rPr>
            </w:pPr>
            <w:r w:rsidRPr="00763287">
              <w:rPr>
                <w:b/>
              </w:rPr>
              <w:t xml:space="preserve">Safeguarding </w:t>
            </w: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 w:rsidP="00EC109B">
            <w:pPr>
              <w:rPr>
                <w:b/>
              </w:rPr>
            </w:pPr>
            <w:r w:rsidRPr="00763287">
              <w:rPr>
                <w:b/>
              </w:rPr>
              <w:t xml:space="preserve">Safeguarding </w:t>
            </w:r>
          </w:p>
          <w:p w:rsidR="00763287" w:rsidRPr="00763287" w:rsidRDefault="00763287" w:rsidP="00EC109B"/>
        </w:tc>
        <w:tc>
          <w:tcPr>
            <w:tcW w:w="1000" w:type="pct"/>
            <w:shd w:val="clear" w:color="auto" w:fill="C2D69B" w:themeFill="accent3" w:themeFillTint="99"/>
          </w:tcPr>
          <w:p w:rsidR="00763287" w:rsidRPr="00763287" w:rsidRDefault="00763287" w:rsidP="00EC109B">
            <w:r w:rsidRPr="00763287">
              <w:t> </w:t>
            </w:r>
            <w:r w:rsidRPr="00763287">
              <w:rPr>
                <w:b/>
              </w:rPr>
              <w:t>Safeguarding</w:t>
            </w:r>
          </w:p>
        </w:tc>
        <w:tc>
          <w:tcPr>
            <w:tcW w:w="1000" w:type="pct"/>
            <w:shd w:val="clear" w:color="auto" w:fill="76923C" w:themeFill="accent3" w:themeFillShade="BF"/>
          </w:tcPr>
          <w:p w:rsidR="00763287" w:rsidRPr="00763287" w:rsidRDefault="00763287" w:rsidP="00EC109B"/>
        </w:tc>
        <w:tc>
          <w:tcPr>
            <w:tcW w:w="1000" w:type="pct"/>
            <w:shd w:val="clear" w:color="auto" w:fill="B2A1C7" w:themeFill="accent4" w:themeFillTint="99"/>
          </w:tcPr>
          <w:p w:rsidR="00763287" w:rsidRPr="00763287" w:rsidRDefault="00763287" w:rsidP="00EC109B">
            <w:r w:rsidRPr="00763287">
              <w:t> </w:t>
            </w:r>
            <w:r w:rsidRPr="00763287">
              <w:rPr>
                <w:b/>
              </w:rPr>
              <w:t>Safeguarding</w:t>
            </w:r>
          </w:p>
        </w:tc>
      </w:tr>
      <w:tr w:rsidR="00763287" w:rsidRPr="00763287" w:rsidTr="00CA75BB">
        <w:trPr>
          <w:trHeight w:val="315"/>
        </w:trPr>
        <w:tc>
          <w:tcPr>
            <w:tcW w:w="1000" w:type="pct"/>
            <w:shd w:val="clear" w:color="auto" w:fill="95B3D7" w:themeFill="accent1" w:themeFillTint="99"/>
            <w:hideMark/>
          </w:tcPr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On-line Safeguarding audit tool</w:t>
            </w:r>
          </w:p>
          <w:p w:rsidR="00763287" w:rsidRPr="008117A5" w:rsidRDefault="00763287" w:rsidP="00EC109B">
            <w:pPr>
              <w:pStyle w:val="ListParagraph"/>
              <w:numPr>
                <w:ilvl w:val="0"/>
                <w:numId w:val="6"/>
              </w:numPr>
              <w:rPr>
                <w:b/>
                <w:i/>
              </w:rPr>
            </w:pPr>
            <w:r w:rsidRPr="00763287">
              <w:t>Dealing with Ofsted/</w:t>
            </w:r>
            <w:proofErr w:type="spellStart"/>
            <w:r w:rsidRPr="00763287">
              <w:t>DfE</w:t>
            </w:r>
            <w:proofErr w:type="spellEnd"/>
            <w:r w:rsidRPr="00763287">
              <w:t xml:space="preserve"> complaints including school follow up &amp; report when required </w:t>
            </w:r>
          </w:p>
          <w:p w:rsidR="008117A5" w:rsidRPr="008117A5" w:rsidRDefault="008117A5" w:rsidP="008117A5">
            <w:pPr>
              <w:pStyle w:val="ListParagraph"/>
              <w:numPr>
                <w:ilvl w:val="0"/>
                <w:numId w:val="6"/>
              </w:numPr>
              <w:rPr>
                <w:b/>
                <w:i/>
              </w:rPr>
            </w:pPr>
            <w:r>
              <w:t>LSCB education safeguarding sub-group</w:t>
            </w:r>
          </w:p>
          <w:p w:rsidR="00763287" w:rsidRPr="0039697F" w:rsidRDefault="00763287" w:rsidP="00EC109B">
            <w:pPr>
              <w:pStyle w:val="ListParagraph"/>
              <w:numPr>
                <w:ilvl w:val="0"/>
                <w:numId w:val="6"/>
              </w:numPr>
              <w:rPr>
                <w:highlight w:val="green"/>
              </w:rPr>
            </w:pPr>
            <w:r w:rsidRPr="0039697F">
              <w:rPr>
                <w:highlight w:val="green"/>
              </w:rPr>
              <w:t xml:space="preserve">DSL networks x 3 a year - on Slough paperwork, services and procedures only 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Updates on national, regional and local policy and procedures - termly Newsletter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Basic advice and guidance</w:t>
            </w:r>
          </w:p>
          <w:p w:rsidR="00763287" w:rsidRPr="007D544D" w:rsidRDefault="00763287" w:rsidP="007D544D">
            <w:pPr>
              <w:rPr>
                <w:b/>
                <w:i/>
              </w:rPr>
            </w:pP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On-line Safeguarding audit tool</w:t>
            </w:r>
          </w:p>
          <w:p w:rsid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Basic liaison and referral with Ofsted/</w:t>
            </w:r>
            <w:proofErr w:type="spellStart"/>
            <w:r w:rsidRPr="00763287">
              <w:t>DfE</w:t>
            </w:r>
            <w:proofErr w:type="spellEnd"/>
            <w:r w:rsidRPr="00763287">
              <w:t xml:space="preserve"> complaints </w:t>
            </w:r>
          </w:p>
          <w:p w:rsidR="008117A5" w:rsidRPr="008117A5" w:rsidRDefault="008117A5" w:rsidP="008117A5">
            <w:pPr>
              <w:pStyle w:val="ListParagraph"/>
              <w:numPr>
                <w:ilvl w:val="0"/>
                <w:numId w:val="6"/>
              </w:numPr>
              <w:rPr>
                <w:b/>
                <w:i/>
              </w:rPr>
            </w:pPr>
            <w:r>
              <w:t xml:space="preserve"> LSCB education safeguarding sub-group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Updates on national, regional and local policy and procedures - termly Newsletter</w:t>
            </w:r>
          </w:p>
          <w:p w:rsidR="00763287" w:rsidRPr="00763287" w:rsidRDefault="00763287" w:rsidP="007D544D"/>
        </w:tc>
        <w:tc>
          <w:tcPr>
            <w:tcW w:w="1000" w:type="pct"/>
            <w:shd w:val="clear" w:color="auto" w:fill="C2D69B" w:themeFill="accent3" w:themeFillTint="99"/>
            <w:hideMark/>
          </w:tcPr>
          <w:p w:rsidR="00763287" w:rsidRPr="00763287" w:rsidRDefault="00763287" w:rsidP="007D544D">
            <w:pPr>
              <w:pStyle w:val="ListParagraph"/>
              <w:numPr>
                <w:ilvl w:val="0"/>
                <w:numId w:val="6"/>
              </w:numPr>
            </w:pPr>
            <w:r w:rsidRPr="00763287">
              <w:t>IAG when needed via phone/email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Dealing with Ofsted/</w:t>
            </w:r>
            <w:proofErr w:type="spellStart"/>
            <w:r w:rsidRPr="00763287">
              <w:t>DfE</w:t>
            </w:r>
            <w:proofErr w:type="spellEnd"/>
            <w:r w:rsidRPr="00763287">
              <w:t xml:space="preserve"> complaints including school follow up &amp; report when required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Two CPD sessions a year for DSL’s safeguarding (could include refresher/New DSL’s for role of DSL and Safer recruitment; prevent etc.)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763287">
              <w:t>Governor training –</w:t>
            </w:r>
            <w:r w:rsidRPr="00763287">
              <w:rPr>
                <w:b/>
              </w:rPr>
              <w:t xml:space="preserve"> </w:t>
            </w:r>
            <w:r w:rsidRPr="00763287">
              <w:t>training for governors to carry out their functions around scrutiny and accountability</w:t>
            </w:r>
            <w:r w:rsidRPr="00763287">
              <w:rPr>
                <w:b/>
              </w:rPr>
              <w:t xml:space="preserve"> 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Annual ‘New to the role welcome meeting/Induction’ …..for DSL/Governors in those roles (twice a year)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2 hour briefing on SCR/LSCB Updates (one per term)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 xml:space="preserve">Discounted rates for attending additional </w:t>
            </w:r>
            <w:r w:rsidRPr="00763287">
              <w:lastRenderedPageBreak/>
              <w:t>training throughout the year</w:t>
            </w:r>
          </w:p>
          <w:p w:rsidR="00763287" w:rsidRPr="00763287" w:rsidRDefault="00763287" w:rsidP="00EC109B"/>
          <w:p w:rsidR="00763287" w:rsidRPr="00763287" w:rsidRDefault="00763287" w:rsidP="00EC109B">
            <w:pPr>
              <w:pStyle w:val="ListParagraph"/>
            </w:pPr>
          </w:p>
        </w:tc>
        <w:tc>
          <w:tcPr>
            <w:tcW w:w="1000" w:type="pct"/>
            <w:shd w:val="clear" w:color="auto" w:fill="76923C" w:themeFill="accent3" w:themeFillShade="BF"/>
          </w:tcPr>
          <w:p w:rsidR="002C3D37" w:rsidRDefault="002C3D37" w:rsidP="002C3D37">
            <w:pPr>
              <w:numPr>
                <w:ilvl w:val="0"/>
                <w:numId w:val="6"/>
              </w:numPr>
            </w:pPr>
            <w:r w:rsidRPr="002C3D37">
              <w:lastRenderedPageBreak/>
              <w:t>DSL networks x 3 a year - on Slough paperwor</w:t>
            </w:r>
            <w:r>
              <w:t>k, services and procedures only</w:t>
            </w:r>
          </w:p>
          <w:p w:rsidR="00633E7C" w:rsidRPr="00633E7C" w:rsidRDefault="00633E7C" w:rsidP="00633E7C">
            <w:pPr>
              <w:numPr>
                <w:ilvl w:val="0"/>
                <w:numId w:val="6"/>
              </w:numPr>
            </w:pPr>
            <w:r w:rsidRPr="00633E7C">
              <w:t>IAG when needed via phone/email</w:t>
            </w:r>
          </w:p>
          <w:p w:rsidR="00633E7C" w:rsidRPr="00633E7C" w:rsidRDefault="00633E7C" w:rsidP="00633E7C">
            <w:pPr>
              <w:numPr>
                <w:ilvl w:val="0"/>
                <w:numId w:val="6"/>
              </w:numPr>
            </w:pPr>
            <w:r w:rsidRPr="00633E7C">
              <w:t>Dealing with Ofsted/</w:t>
            </w:r>
            <w:proofErr w:type="spellStart"/>
            <w:r w:rsidRPr="00633E7C">
              <w:t>DfE</w:t>
            </w:r>
            <w:proofErr w:type="spellEnd"/>
            <w:r w:rsidRPr="00633E7C">
              <w:t xml:space="preserve"> complaints including school follow up &amp; report when required</w:t>
            </w:r>
          </w:p>
          <w:p w:rsidR="00633E7C" w:rsidRPr="00633E7C" w:rsidRDefault="00633E7C" w:rsidP="00633E7C">
            <w:pPr>
              <w:numPr>
                <w:ilvl w:val="0"/>
                <w:numId w:val="6"/>
              </w:numPr>
            </w:pPr>
            <w:r w:rsidRPr="00633E7C">
              <w:t>Two CPD sessions a year for DSL’s safeguarding (could include refresher/New DSL’s for role of DSL and Safer recruitment; prevent etc.)</w:t>
            </w:r>
          </w:p>
          <w:p w:rsidR="00633E7C" w:rsidRPr="00633E7C" w:rsidRDefault="00633E7C" w:rsidP="00633E7C">
            <w:pPr>
              <w:numPr>
                <w:ilvl w:val="0"/>
                <w:numId w:val="6"/>
              </w:numPr>
              <w:rPr>
                <w:b/>
              </w:rPr>
            </w:pPr>
            <w:r w:rsidRPr="00633E7C">
              <w:t>Governor training –</w:t>
            </w:r>
            <w:r w:rsidRPr="00633E7C">
              <w:rPr>
                <w:b/>
              </w:rPr>
              <w:t xml:space="preserve"> </w:t>
            </w:r>
            <w:r w:rsidRPr="00633E7C">
              <w:t>training for governors to carry out their functions around scrutiny and accountability</w:t>
            </w:r>
            <w:r w:rsidRPr="00633E7C">
              <w:rPr>
                <w:b/>
              </w:rPr>
              <w:t xml:space="preserve"> </w:t>
            </w:r>
          </w:p>
          <w:p w:rsidR="00633E7C" w:rsidRPr="00633E7C" w:rsidRDefault="00633E7C" w:rsidP="00633E7C">
            <w:pPr>
              <w:numPr>
                <w:ilvl w:val="0"/>
                <w:numId w:val="6"/>
              </w:numPr>
            </w:pPr>
            <w:r w:rsidRPr="00633E7C">
              <w:t>Annual ‘New to the role welcome meeting/Induction’ …..for DSL/Governors in those roles (twice a year)</w:t>
            </w:r>
          </w:p>
          <w:p w:rsidR="00633E7C" w:rsidRPr="00633E7C" w:rsidRDefault="00633E7C" w:rsidP="00633E7C">
            <w:pPr>
              <w:numPr>
                <w:ilvl w:val="0"/>
                <w:numId w:val="6"/>
              </w:numPr>
            </w:pPr>
            <w:r w:rsidRPr="00633E7C">
              <w:t xml:space="preserve">2 hour briefing on SCR/LSCB Updates (one per </w:t>
            </w:r>
            <w:r w:rsidRPr="00633E7C">
              <w:lastRenderedPageBreak/>
              <w:t>term)</w:t>
            </w:r>
          </w:p>
          <w:p w:rsidR="00633E7C" w:rsidRPr="00633E7C" w:rsidRDefault="00633E7C" w:rsidP="001A56DA">
            <w:pPr>
              <w:pStyle w:val="ListParagraph"/>
              <w:numPr>
                <w:ilvl w:val="0"/>
                <w:numId w:val="6"/>
              </w:numPr>
            </w:pPr>
            <w:r w:rsidRPr="00633E7C">
              <w:t>Discounted rates for attending additional training throughout the year</w:t>
            </w:r>
            <w:r w:rsidR="002C3D37" w:rsidRPr="00763287">
              <w:t xml:space="preserve"> </w:t>
            </w:r>
          </w:p>
          <w:p w:rsidR="00763287" w:rsidRPr="00763287" w:rsidRDefault="00763287" w:rsidP="00EC109B"/>
        </w:tc>
        <w:tc>
          <w:tcPr>
            <w:tcW w:w="1000" w:type="pct"/>
            <w:shd w:val="clear" w:color="auto" w:fill="B2A1C7" w:themeFill="accent4" w:themeFillTint="99"/>
            <w:hideMark/>
          </w:tcPr>
          <w:p w:rsidR="00763287" w:rsidRPr="00763287" w:rsidRDefault="00763287" w:rsidP="00EC109B">
            <w:r w:rsidRPr="00763287">
              <w:lastRenderedPageBreak/>
              <w:t> 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All services on the left can be individually bought into for</w:t>
            </w:r>
            <w:r w:rsidR="001A12CB">
              <w:t xml:space="preserve"> a day rate 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 xml:space="preserve">Annual DSL Conference – sharing/promoting good practice </w:t>
            </w:r>
          </w:p>
          <w:p w:rsidR="00763287" w:rsidRPr="00763287" w:rsidRDefault="00763287" w:rsidP="001A12CB">
            <w:pPr>
              <w:pStyle w:val="ListParagraph"/>
              <w:ind w:left="360"/>
            </w:pPr>
          </w:p>
        </w:tc>
      </w:tr>
      <w:tr w:rsidR="00763287" w:rsidRPr="00763287" w:rsidTr="00CA75BB">
        <w:trPr>
          <w:trHeight w:val="315"/>
        </w:trPr>
        <w:tc>
          <w:tcPr>
            <w:tcW w:w="1000" w:type="pct"/>
            <w:shd w:val="clear" w:color="auto" w:fill="95B3D7" w:themeFill="accent1" w:themeFillTint="99"/>
          </w:tcPr>
          <w:p w:rsidR="00763287" w:rsidRPr="00763287" w:rsidRDefault="00763287" w:rsidP="00EC109B">
            <w:pPr>
              <w:rPr>
                <w:b/>
              </w:rPr>
            </w:pPr>
            <w:r w:rsidRPr="00763287">
              <w:rPr>
                <w:b/>
              </w:rPr>
              <w:lastRenderedPageBreak/>
              <w:t xml:space="preserve">SENDCO Services </w:t>
            </w:r>
            <w:r w:rsidR="002D0D4F">
              <w:rPr>
                <w:b/>
              </w:rPr>
              <w:t>(HNB funded)</w:t>
            </w: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 w:rsidP="00EC109B">
            <w:pPr>
              <w:tabs>
                <w:tab w:val="left" w:pos="2445"/>
              </w:tabs>
              <w:rPr>
                <w:b/>
              </w:rPr>
            </w:pPr>
            <w:r w:rsidRPr="00763287">
              <w:rPr>
                <w:b/>
              </w:rPr>
              <w:t xml:space="preserve">SENDCO Services </w:t>
            </w:r>
            <w:r w:rsidR="002D0D4F">
              <w:rPr>
                <w:b/>
              </w:rPr>
              <w:t>(HNB funded)</w:t>
            </w:r>
          </w:p>
        </w:tc>
        <w:tc>
          <w:tcPr>
            <w:tcW w:w="1000" w:type="pct"/>
            <w:shd w:val="clear" w:color="auto" w:fill="C2D69B" w:themeFill="accent3" w:themeFillTint="99"/>
          </w:tcPr>
          <w:p w:rsidR="00763287" w:rsidRPr="00763287" w:rsidRDefault="00763287" w:rsidP="00EC109B">
            <w:r w:rsidRPr="00763287">
              <w:rPr>
                <w:b/>
              </w:rPr>
              <w:t>SENDCO Services</w:t>
            </w:r>
          </w:p>
        </w:tc>
        <w:tc>
          <w:tcPr>
            <w:tcW w:w="1000" w:type="pct"/>
            <w:shd w:val="clear" w:color="auto" w:fill="76923C" w:themeFill="accent3" w:themeFillShade="BF"/>
          </w:tcPr>
          <w:p w:rsidR="00763287" w:rsidRPr="00763287" w:rsidRDefault="007D544D" w:rsidP="00EC109B">
            <w:pPr>
              <w:rPr>
                <w:b/>
              </w:rPr>
            </w:pPr>
            <w:r w:rsidRPr="007D544D">
              <w:rPr>
                <w:b/>
              </w:rPr>
              <w:t>SENDCO Services </w:t>
            </w:r>
          </w:p>
        </w:tc>
        <w:tc>
          <w:tcPr>
            <w:tcW w:w="1000" w:type="pct"/>
            <w:shd w:val="clear" w:color="auto" w:fill="B2A1C7" w:themeFill="accent4" w:themeFillTint="99"/>
          </w:tcPr>
          <w:p w:rsidR="00763287" w:rsidRPr="00763287" w:rsidRDefault="00763287" w:rsidP="00EC109B">
            <w:r w:rsidRPr="00763287">
              <w:rPr>
                <w:b/>
              </w:rPr>
              <w:t>SENDCO Services</w:t>
            </w:r>
            <w:r w:rsidRPr="00763287">
              <w:t> </w:t>
            </w:r>
            <w:r w:rsidR="00446323">
              <w:t>(additional)</w:t>
            </w:r>
          </w:p>
        </w:tc>
      </w:tr>
      <w:tr w:rsidR="00763287" w:rsidRPr="00763287" w:rsidTr="00CA75BB">
        <w:trPr>
          <w:trHeight w:val="1615"/>
        </w:trPr>
        <w:tc>
          <w:tcPr>
            <w:tcW w:w="1000" w:type="pct"/>
            <w:shd w:val="clear" w:color="auto" w:fill="95B3D7" w:themeFill="accent1" w:themeFillTint="99"/>
          </w:tcPr>
          <w:p w:rsidR="00446323" w:rsidRDefault="00446323" w:rsidP="00446323">
            <w:pPr>
              <w:pStyle w:val="ListParagraph"/>
              <w:numPr>
                <w:ilvl w:val="0"/>
                <w:numId w:val="6"/>
              </w:numPr>
            </w:pPr>
            <w:r>
              <w:t xml:space="preserve">This funding supports the work of the Education, Standards and Effectiveness Officer SEND and the </w:t>
            </w:r>
            <w:proofErr w:type="spellStart"/>
            <w:r>
              <w:t>SENDCo</w:t>
            </w:r>
            <w:proofErr w:type="spellEnd"/>
            <w:r>
              <w:t xml:space="preserve"> Network Forum.</w:t>
            </w:r>
          </w:p>
          <w:p w:rsidR="00EF1214" w:rsidRPr="00763287" w:rsidRDefault="00446323" w:rsidP="00446323">
            <w:pPr>
              <w:pStyle w:val="ListParagraph"/>
              <w:numPr>
                <w:ilvl w:val="0"/>
                <w:numId w:val="6"/>
              </w:numPr>
            </w:pPr>
            <w:r>
              <w:t>Funding also supports advice and training for schools through advisory teachers.</w:t>
            </w:r>
          </w:p>
        </w:tc>
        <w:tc>
          <w:tcPr>
            <w:tcW w:w="1000" w:type="pct"/>
            <w:shd w:val="clear" w:color="auto" w:fill="4F81BD" w:themeFill="accent1"/>
          </w:tcPr>
          <w:p w:rsidR="00446323" w:rsidRPr="00446323" w:rsidRDefault="00446323" w:rsidP="00446323">
            <w:pPr>
              <w:numPr>
                <w:ilvl w:val="0"/>
                <w:numId w:val="6"/>
              </w:numPr>
            </w:pPr>
            <w:r w:rsidRPr="00446323">
              <w:t xml:space="preserve">This funding supports the work of the Education, Standards and Effectiveness Officer SEND and the </w:t>
            </w:r>
            <w:proofErr w:type="spellStart"/>
            <w:r w:rsidRPr="00446323">
              <w:t>SENDCo</w:t>
            </w:r>
            <w:proofErr w:type="spellEnd"/>
            <w:r w:rsidRPr="00446323">
              <w:t xml:space="preserve"> Network Forum.</w:t>
            </w:r>
          </w:p>
          <w:p w:rsidR="00763287" w:rsidRPr="00763287" w:rsidRDefault="00446323" w:rsidP="00446323">
            <w:pPr>
              <w:numPr>
                <w:ilvl w:val="0"/>
                <w:numId w:val="6"/>
              </w:numPr>
            </w:pPr>
            <w:r w:rsidRPr="00446323">
              <w:t>Funding also supports advice and training for schools through advisory teachers.</w:t>
            </w:r>
          </w:p>
        </w:tc>
        <w:tc>
          <w:tcPr>
            <w:tcW w:w="1000" w:type="pct"/>
            <w:shd w:val="clear" w:color="auto" w:fill="C2D69B" w:themeFill="accent3" w:themeFillTint="99"/>
          </w:tcPr>
          <w:p w:rsidR="00446323" w:rsidRPr="00763287" w:rsidRDefault="002D0D4F" w:rsidP="00446323">
            <w:r>
              <w:t>N/A</w:t>
            </w:r>
            <w:r w:rsidR="00763287" w:rsidRPr="00763287">
              <w:rPr>
                <w:i/>
              </w:rPr>
              <w:t xml:space="preserve"> </w:t>
            </w:r>
          </w:p>
          <w:p w:rsidR="00763287" w:rsidRPr="00763287" w:rsidRDefault="00763287" w:rsidP="001A12CB"/>
        </w:tc>
        <w:tc>
          <w:tcPr>
            <w:tcW w:w="1000" w:type="pct"/>
            <w:shd w:val="clear" w:color="auto" w:fill="76923C" w:themeFill="accent3" w:themeFillShade="BF"/>
          </w:tcPr>
          <w:p w:rsidR="00763287" w:rsidRPr="00763287" w:rsidRDefault="008117A5" w:rsidP="008117A5">
            <w:r>
              <w:t>N/A</w:t>
            </w:r>
          </w:p>
        </w:tc>
        <w:tc>
          <w:tcPr>
            <w:tcW w:w="1000" w:type="pct"/>
            <w:shd w:val="clear" w:color="auto" w:fill="B2A1C7" w:themeFill="accent4" w:themeFillTint="99"/>
          </w:tcPr>
          <w:p w:rsidR="00763287" w:rsidRPr="00763287" w:rsidRDefault="007D544D" w:rsidP="007D544D">
            <w:pPr>
              <w:pStyle w:val="ListParagraph"/>
              <w:numPr>
                <w:ilvl w:val="0"/>
                <w:numId w:val="6"/>
              </w:numPr>
            </w:pPr>
            <w:r>
              <w:t>Annual SENDCO</w:t>
            </w:r>
            <w:r w:rsidR="00763287" w:rsidRPr="00763287">
              <w:t xml:space="preserve"> Conference – sharing/promoting good practice </w:t>
            </w:r>
          </w:p>
          <w:p w:rsidR="00763287" w:rsidRDefault="007D544D" w:rsidP="007D544D">
            <w:pPr>
              <w:pStyle w:val="ListParagraph"/>
              <w:numPr>
                <w:ilvl w:val="0"/>
                <w:numId w:val="6"/>
              </w:numPr>
            </w:pPr>
            <w:r w:rsidRPr="007D544D">
              <w:t>CPD Training throughout the year in the 4 SEND Areas</w:t>
            </w:r>
          </w:p>
          <w:p w:rsidR="007D544D" w:rsidRPr="007D544D" w:rsidRDefault="001A12CB" w:rsidP="001A12CB">
            <w:pPr>
              <w:pStyle w:val="ListParagraph"/>
              <w:numPr>
                <w:ilvl w:val="0"/>
                <w:numId w:val="6"/>
              </w:numPr>
            </w:pPr>
            <w:r>
              <w:t xml:space="preserve">Day for additional services </w:t>
            </w:r>
          </w:p>
        </w:tc>
      </w:tr>
      <w:tr w:rsidR="00763287" w:rsidRPr="00763287" w:rsidTr="00CA75BB">
        <w:trPr>
          <w:trHeight w:val="408"/>
        </w:trPr>
        <w:tc>
          <w:tcPr>
            <w:tcW w:w="1000" w:type="pct"/>
            <w:shd w:val="clear" w:color="auto" w:fill="95B3D7" w:themeFill="accent1" w:themeFillTint="99"/>
          </w:tcPr>
          <w:p w:rsidR="00763287" w:rsidRPr="00763287" w:rsidRDefault="00763287" w:rsidP="00EC109B">
            <w:pPr>
              <w:rPr>
                <w:b/>
              </w:rPr>
            </w:pPr>
            <w:r w:rsidRPr="00763287">
              <w:rPr>
                <w:b/>
              </w:rPr>
              <w:t xml:space="preserve">Data and IT Systems </w:t>
            </w: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 w:rsidP="00EC109B">
            <w:pPr>
              <w:rPr>
                <w:b/>
              </w:rPr>
            </w:pPr>
            <w:r w:rsidRPr="00763287">
              <w:rPr>
                <w:b/>
              </w:rPr>
              <w:t xml:space="preserve">Data and IT Systems </w:t>
            </w:r>
          </w:p>
        </w:tc>
        <w:tc>
          <w:tcPr>
            <w:tcW w:w="1000" w:type="pct"/>
            <w:shd w:val="clear" w:color="auto" w:fill="C2D69B" w:themeFill="accent3" w:themeFillTint="99"/>
          </w:tcPr>
          <w:p w:rsidR="00763287" w:rsidRPr="00763287" w:rsidRDefault="00763287" w:rsidP="00EC109B">
            <w:r w:rsidRPr="00763287">
              <w:rPr>
                <w:b/>
              </w:rPr>
              <w:t>Data and IT Systems</w:t>
            </w:r>
          </w:p>
        </w:tc>
        <w:tc>
          <w:tcPr>
            <w:tcW w:w="1000" w:type="pct"/>
            <w:shd w:val="clear" w:color="auto" w:fill="76923C" w:themeFill="accent3" w:themeFillShade="BF"/>
          </w:tcPr>
          <w:p w:rsidR="00763287" w:rsidRPr="00763287" w:rsidRDefault="002D0D4F" w:rsidP="00EC109B">
            <w:pPr>
              <w:rPr>
                <w:b/>
              </w:rPr>
            </w:pPr>
            <w:r w:rsidRPr="002D0D4F">
              <w:rPr>
                <w:b/>
              </w:rPr>
              <w:t>Data and IT Systems</w:t>
            </w:r>
          </w:p>
        </w:tc>
        <w:tc>
          <w:tcPr>
            <w:tcW w:w="1000" w:type="pct"/>
            <w:shd w:val="clear" w:color="auto" w:fill="B2A1C7" w:themeFill="accent4" w:themeFillTint="99"/>
          </w:tcPr>
          <w:p w:rsidR="00763287" w:rsidRPr="00763287" w:rsidRDefault="00763287" w:rsidP="00EC109B">
            <w:r w:rsidRPr="00763287">
              <w:rPr>
                <w:b/>
              </w:rPr>
              <w:t>Data and IT Systems</w:t>
            </w:r>
          </w:p>
        </w:tc>
      </w:tr>
      <w:tr w:rsidR="00763287" w:rsidRPr="00763287" w:rsidTr="00597427">
        <w:trPr>
          <w:trHeight w:val="1841"/>
        </w:trPr>
        <w:tc>
          <w:tcPr>
            <w:tcW w:w="1000" w:type="pct"/>
            <w:shd w:val="clear" w:color="auto" w:fill="95B3D7" w:themeFill="accent1" w:themeFillTint="99"/>
          </w:tcPr>
          <w:p w:rsidR="00763287" w:rsidRPr="00763287" w:rsidRDefault="00763287" w:rsidP="00EC109B">
            <w:pPr>
              <w:pStyle w:val="ListParagraph"/>
              <w:numPr>
                <w:ilvl w:val="0"/>
                <w:numId w:val="5"/>
              </w:numPr>
            </w:pPr>
            <w:bookmarkStart w:id="1" w:name="RANGE!B6"/>
            <w:r w:rsidRPr="00763287">
              <w:t>Nexus subscription</w:t>
            </w:r>
            <w:bookmarkEnd w:id="1"/>
            <w:r w:rsidRPr="00763287">
              <w:t xml:space="preserve"> (perspective </w:t>
            </w:r>
            <w:proofErr w:type="spellStart"/>
            <w:r w:rsidRPr="00763287">
              <w:t>lite</w:t>
            </w:r>
            <w:proofErr w:type="spellEnd"/>
            <w:r w:rsidRPr="00763287">
              <w:t>)</w:t>
            </w:r>
          </w:p>
          <w:p w:rsidR="00763287" w:rsidRPr="00763287" w:rsidRDefault="00763287" w:rsidP="00EC109B"/>
          <w:p w:rsidR="00763287" w:rsidRPr="00763287" w:rsidRDefault="00763287" w:rsidP="00EC109B"/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 w:rsidP="00AC6DEF">
            <w:pPr>
              <w:pStyle w:val="ListParagraph"/>
              <w:numPr>
                <w:ilvl w:val="0"/>
                <w:numId w:val="5"/>
              </w:numPr>
            </w:pPr>
            <w:r w:rsidRPr="00763287">
              <w:t xml:space="preserve">Nexus subscription (perspective </w:t>
            </w:r>
            <w:proofErr w:type="spellStart"/>
            <w:r w:rsidRPr="00763287">
              <w:t>lite</w:t>
            </w:r>
            <w:proofErr w:type="spellEnd"/>
            <w:r w:rsidRPr="00763287">
              <w:t>)</w:t>
            </w:r>
          </w:p>
          <w:p w:rsidR="00763287" w:rsidRPr="00763287" w:rsidRDefault="00763287" w:rsidP="00EC109B"/>
          <w:p w:rsidR="00763287" w:rsidRPr="00763287" w:rsidRDefault="00763287" w:rsidP="00EC109B"/>
        </w:tc>
        <w:tc>
          <w:tcPr>
            <w:tcW w:w="1000" w:type="pct"/>
            <w:shd w:val="clear" w:color="auto" w:fill="C2D69B" w:themeFill="accent3" w:themeFillTint="99"/>
          </w:tcPr>
          <w:p w:rsidR="00763287" w:rsidRDefault="001A56DA" w:rsidP="00EC109B">
            <w:r>
              <w:t>FFT</w:t>
            </w:r>
          </w:p>
          <w:p w:rsidR="001A56DA" w:rsidRDefault="001A56DA" w:rsidP="00EC109B">
            <w:r>
              <w:t>ALPS (secondary)</w:t>
            </w:r>
          </w:p>
          <w:p w:rsidR="006B48F0" w:rsidRPr="00763287" w:rsidRDefault="006B48F0" w:rsidP="00EC109B">
            <w:r>
              <w:t>CLEAPS</w:t>
            </w:r>
          </w:p>
          <w:p w:rsidR="00763287" w:rsidRPr="00763287" w:rsidRDefault="00763287" w:rsidP="00EC109B"/>
        </w:tc>
        <w:tc>
          <w:tcPr>
            <w:tcW w:w="1000" w:type="pct"/>
            <w:shd w:val="clear" w:color="auto" w:fill="76923C" w:themeFill="accent3" w:themeFillShade="BF"/>
          </w:tcPr>
          <w:p w:rsidR="00763287" w:rsidRDefault="001A56DA" w:rsidP="002D0D4F">
            <w:r>
              <w:t>FFT</w:t>
            </w:r>
          </w:p>
          <w:p w:rsidR="001A56DA" w:rsidRDefault="001A56DA" w:rsidP="002D0D4F">
            <w:r>
              <w:t>ALPS (Secondary)</w:t>
            </w:r>
          </w:p>
          <w:p w:rsidR="006B48F0" w:rsidRPr="00763287" w:rsidRDefault="006B48F0" w:rsidP="002D0D4F">
            <w:r>
              <w:t>CLEAPS</w:t>
            </w:r>
          </w:p>
        </w:tc>
        <w:tc>
          <w:tcPr>
            <w:tcW w:w="1000" w:type="pct"/>
            <w:shd w:val="clear" w:color="auto" w:fill="B2A1C7" w:themeFill="accent4" w:themeFillTint="99"/>
          </w:tcPr>
          <w:p w:rsidR="00763287" w:rsidRPr="00763287" w:rsidRDefault="00763287" w:rsidP="00EC109B">
            <w:pPr>
              <w:pStyle w:val="ListParagraph"/>
              <w:numPr>
                <w:ilvl w:val="0"/>
                <w:numId w:val="5"/>
              </w:numPr>
            </w:pPr>
            <w:r w:rsidRPr="00763287">
              <w:t>Bespoke analysis by negotiation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5"/>
              </w:numPr>
            </w:pPr>
            <w:r w:rsidRPr="00763287">
              <w:t>Further packages by negotiation e.g. bulk buy of ALPS</w:t>
            </w:r>
          </w:p>
          <w:p w:rsidR="00763287" w:rsidRPr="00763287" w:rsidRDefault="00763287" w:rsidP="00EC109B"/>
        </w:tc>
      </w:tr>
      <w:tr w:rsidR="00763287" w:rsidRPr="00763287" w:rsidTr="00CA75BB">
        <w:trPr>
          <w:trHeight w:val="365"/>
        </w:trPr>
        <w:tc>
          <w:tcPr>
            <w:tcW w:w="1000" w:type="pct"/>
            <w:shd w:val="clear" w:color="auto" w:fill="95B3D7" w:themeFill="accent1" w:themeFillTint="99"/>
          </w:tcPr>
          <w:p w:rsidR="00763287" w:rsidRPr="00763287" w:rsidRDefault="00763287" w:rsidP="00EC109B">
            <w:pPr>
              <w:rPr>
                <w:b/>
              </w:rPr>
            </w:pPr>
            <w:r w:rsidRPr="00763287">
              <w:rPr>
                <w:b/>
              </w:rPr>
              <w:t>Governance support (maintained)</w:t>
            </w: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 w:rsidP="00EC109B">
            <w:pPr>
              <w:rPr>
                <w:b/>
              </w:rPr>
            </w:pPr>
            <w:r w:rsidRPr="00763287">
              <w:rPr>
                <w:b/>
              </w:rPr>
              <w:t xml:space="preserve">Governance support </w:t>
            </w:r>
          </w:p>
          <w:p w:rsidR="00763287" w:rsidRPr="00763287" w:rsidRDefault="00763287" w:rsidP="00EC109B">
            <w:r w:rsidRPr="00763287">
              <w:rPr>
                <w:b/>
              </w:rPr>
              <w:t>(academies)</w:t>
            </w:r>
          </w:p>
        </w:tc>
        <w:tc>
          <w:tcPr>
            <w:tcW w:w="1000" w:type="pct"/>
            <w:shd w:val="clear" w:color="auto" w:fill="C2D69B" w:themeFill="accent3" w:themeFillTint="99"/>
          </w:tcPr>
          <w:p w:rsidR="00763287" w:rsidRPr="00763287" w:rsidRDefault="00763287" w:rsidP="00EC109B">
            <w:r w:rsidRPr="00763287">
              <w:t> </w:t>
            </w:r>
            <w:r w:rsidRPr="00763287">
              <w:rPr>
                <w:b/>
              </w:rPr>
              <w:t>Governance support</w:t>
            </w:r>
          </w:p>
        </w:tc>
        <w:tc>
          <w:tcPr>
            <w:tcW w:w="1000" w:type="pct"/>
            <w:shd w:val="clear" w:color="auto" w:fill="76923C" w:themeFill="accent3" w:themeFillShade="BF"/>
          </w:tcPr>
          <w:p w:rsidR="00763287" w:rsidRPr="00763287" w:rsidRDefault="00763287" w:rsidP="00EC109B"/>
        </w:tc>
        <w:tc>
          <w:tcPr>
            <w:tcW w:w="1000" w:type="pct"/>
            <w:shd w:val="clear" w:color="auto" w:fill="B2A1C7" w:themeFill="accent4" w:themeFillTint="99"/>
          </w:tcPr>
          <w:p w:rsidR="00763287" w:rsidRPr="00763287" w:rsidRDefault="00763287" w:rsidP="00EC109B">
            <w:r w:rsidRPr="00763287">
              <w:t> </w:t>
            </w:r>
            <w:r w:rsidRPr="00763287">
              <w:rPr>
                <w:b/>
              </w:rPr>
              <w:t>Governance support</w:t>
            </w:r>
          </w:p>
        </w:tc>
      </w:tr>
      <w:tr w:rsidR="00763287" w:rsidRPr="00763287" w:rsidTr="00CA75BB">
        <w:trPr>
          <w:trHeight w:val="630"/>
        </w:trPr>
        <w:tc>
          <w:tcPr>
            <w:tcW w:w="1000" w:type="pct"/>
            <w:shd w:val="clear" w:color="auto" w:fill="95B3D7" w:themeFill="accent1" w:themeFillTint="99"/>
          </w:tcPr>
          <w:p w:rsidR="00012059" w:rsidRPr="00CA75BB" w:rsidRDefault="00012059" w:rsidP="00012059">
            <w:pPr>
              <w:pStyle w:val="ListParagraph"/>
              <w:numPr>
                <w:ilvl w:val="0"/>
                <w:numId w:val="6"/>
              </w:numPr>
              <w:rPr>
                <w:highlight w:val="green"/>
              </w:rPr>
            </w:pPr>
            <w:r w:rsidRPr="00CA75BB">
              <w:rPr>
                <w:highlight w:val="green"/>
              </w:rPr>
              <w:t>Subscription to the KEY for Governors</w:t>
            </w:r>
          </w:p>
          <w:p w:rsidR="00633E7C" w:rsidRPr="00CA75BB" w:rsidRDefault="00633E7C" w:rsidP="00012059">
            <w:pPr>
              <w:numPr>
                <w:ilvl w:val="0"/>
                <w:numId w:val="6"/>
              </w:numPr>
              <w:rPr>
                <w:highlight w:val="green"/>
              </w:rPr>
            </w:pPr>
            <w:r w:rsidRPr="00CA75BB">
              <w:rPr>
                <w:highlight w:val="green"/>
              </w:rPr>
              <w:t>IAG when needed via phone/email</w:t>
            </w:r>
          </w:p>
          <w:p w:rsidR="00763287" w:rsidRPr="00763287" w:rsidRDefault="00763287" w:rsidP="00012059">
            <w:pPr>
              <w:numPr>
                <w:ilvl w:val="0"/>
                <w:numId w:val="6"/>
              </w:numPr>
            </w:pPr>
            <w:r w:rsidRPr="00763287">
              <w:t>Updates on national, regional and local policy and procedures</w:t>
            </w:r>
            <w:r w:rsidRPr="00763287">
              <w:rPr>
                <w:b/>
              </w:rPr>
              <w:t xml:space="preserve"> </w:t>
            </w:r>
            <w:r w:rsidRPr="00763287">
              <w:t>- Termly Newsletter</w:t>
            </w:r>
          </w:p>
          <w:p w:rsidR="00763287" w:rsidRPr="00763287" w:rsidRDefault="00763287" w:rsidP="00012059">
            <w:pPr>
              <w:pStyle w:val="ListParagraph"/>
              <w:numPr>
                <w:ilvl w:val="0"/>
                <w:numId w:val="6"/>
              </w:numPr>
            </w:pPr>
            <w:r w:rsidRPr="00763287">
              <w:t>Basic advice and guidance</w:t>
            </w:r>
          </w:p>
          <w:p w:rsidR="00763287" w:rsidRPr="00763287" w:rsidRDefault="00763287" w:rsidP="00012059">
            <w:pPr>
              <w:pStyle w:val="ListParagraph"/>
              <w:numPr>
                <w:ilvl w:val="0"/>
                <w:numId w:val="6"/>
              </w:numPr>
            </w:pPr>
            <w:r w:rsidRPr="00763287">
              <w:t>Governor meetings. Events for governors x3 a year</w:t>
            </w:r>
          </w:p>
        </w:tc>
        <w:tc>
          <w:tcPr>
            <w:tcW w:w="1000" w:type="pct"/>
            <w:shd w:val="clear" w:color="auto" w:fill="4F81BD" w:themeFill="accent1"/>
          </w:tcPr>
          <w:p w:rsidR="00633E7C" w:rsidRPr="00633E7C" w:rsidRDefault="00633E7C" w:rsidP="00633E7C">
            <w:pPr>
              <w:numPr>
                <w:ilvl w:val="0"/>
                <w:numId w:val="6"/>
              </w:numPr>
            </w:pPr>
            <w:r w:rsidRPr="00633E7C">
              <w:t>Updates on national, regional and local policy and procedures</w:t>
            </w:r>
            <w:r w:rsidRPr="00633E7C">
              <w:rPr>
                <w:b/>
              </w:rPr>
              <w:t xml:space="preserve"> </w:t>
            </w:r>
            <w:r w:rsidRPr="00633E7C">
              <w:t>- Termly Newsletter</w:t>
            </w:r>
          </w:p>
          <w:p w:rsidR="00633E7C" w:rsidRPr="00633E7C" w:rsidRDefault="00633E7C" w:rsidP="00633E7C">
            <w:pPr>
              <w:numPr>
                <w:ilvl w:val="0"/>
                <w:numId w:val="6"/>
              </w:numPr>
            </w:pPr>
            <w:r w:rsidRPr="00633E7C">
              <w:t>Basic advice and guidance</w:t>
            </w:r>
          </w:p>
          <w:p w:rsidR="00763287" w:rsidRPr="00763287" w:rsidRDefault="00763287" w:rsidP="0039697F">
            <w:pPr>
              <w:pStyle w:val="ListParagraph"/>
              <w:ind w:left="360"/>
            </w:pPr>
          </w:p>
        </w:tc>
        <w:tc>
          <w:tcPr>
            <w:tcW w:w="1000" w:type="pct"/>
            <w:shd w:val="clear" w:color="auto" w:fill="C2D69B" w:themeFill="accent3" w:themeFillTint="99"/>
          </w:tcPr>
          <w:p w:rsidR="001A56DA" w:rsidRPr="00633E7C" w:rsidRDefault="0036152C" w:rsidP="0036152C">
            <w:pPr>
              <w:pStyle w:val="ListParagraph"/>
              <w:numPr>
                <w:ilvl w:val="0"/>
                <w:numId w:val="6"/>
              </w:numPr>
            </w:pPr>
            <w:r>
              <w:t>Covered in core</w:t>
            </w:r>
          </w:p>
          <w:p w:rsidR="00763287" w:rsidRPr="00763287" w:rsidRDefault="00763287" w:rsidP="001A56DA"/>
        </w:tc>
        <w:tc>
          <w:tcPr>
            <w:tcW w:w="1000" w:type="pct"/>
            <w:shd w:val="clear" w:color="auto" w:fill="76923C" w:themeFill="accent3" w:themeFillShade="BF"/>
          </w:tcPr>
          <w:p w:rsidR="001A56DA" w:rsidRPr="00CA75BB" w:rsidRDefault="001A56DA" w:rsidP="001A56DA">
            <w:pPr>
              <w:pStyle w:val="ListParagraph"/>
              <w:numPr>
                <w:ilvl w:val="0"/>
                <w:numId w:val="6"/>
              </w:numPr>
            </w:pPr>
            <w:r w:rsidRPr="00CA75BB">
              <w:t>The Key for School Governors</w:t>
            </w:r>
          </w:p>
          <w:p w:rsidR="00763287" w:rsidRDefault="001A56DA" w:rsidP="001A56DA">
            <w:pPr>
              <w:pStyle w:val="ListParagraph"/>
              <w:numPr>
                <w:ilvl w:val="0"/>
                <w:numId w:val="6"/>
              </w:numPr>
            </w:pPr>
            <w:r w:rsidRPr="00CA75BB">
              <w:t>Governor meetings/events  per year</w:t>
            </w:r>
          </w:p>
          <w:p w:rsidR="0036152C" w:rsidRDefault="0036152C" w:rsidP="0036152C">
            <w:pPr>
              <w:numPr>
                <w:ilvl w:val="0"/>
                <w:numId w:val="6"/>
              </w:numPr>
            </w:pPr>
            <w:r w:rsidRPr="00763287">
              <w:t>Updates on national, regional and local policy and procedures</w:t>
            </w:r>
            <w:r w:rsidRPr="00763287">
              <w:rPr>
                <w:b/>
              </w:rPr>
              <w:t xml:space="preserve"> </w:t>
            </w:r>
            <w:r w:rsidRPr="00763287">
              <w:t>- Termly Newsletter</w:t>
            </w:r>
          </w:p>
          <w:p w:rsidR="0036152C" w:rsidRPr="00763287" w:rsidRDefault="0036152C" w:rsidP="001A56DA">
            <w:pPr>
              <w:pStyle w:val="ListParagraph"/>
              <w:numPr>
                <w:ilvl w:val="0"/>
                <w:numId w:val="6"/>
              </w:numPr>
            </w:pPr>
            <w:r w:rsidRPr="00763287">
              <w:t>Governor meetings. Events for governors x3 a year</w:t>
            </w:r>
          </w:p>
        </w:tc>
        <w:tc>
          <w:tcPr>
            <w:tcW w:w="1000" w:type="pct"/>
            <w:shd w:val="clear" w:color="auto" w:fill="B2A1C7" w:themeFill="accent4" w:themeFillTint="99"/>
          </w:tcPr>
          <w:p w:rsid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Bespoke training for governing bodies</w:t>
            </w:r>
          </w:p>
          <w:p w:rsidR="002D0D4F" w:rsidRPr="00763287" w:rsidRDefault="002D0D4F" w:rsidP="00EC109B">
            <w:pPr>
              <w:pStyle w:val="ListParagraph"/>
              <w:numPr>
                <w:ilvl w:val="0"/>
                <w:numId w:val="6"/>
              </w:numPr>
            </w:pPr>
            <w:r>
              <w:t>CPD events throughout the year</w:t>
            </w:r>
          </w:p>
          <w:p w:rsidR="00763287" w:rsidRPr="00763287" w:rsidRDefault="00763287" w:rsidP="00EC109B">
            <w:pPr>
              <w:pStyle w:val="ListParagraph"/>
              <w:numPr>
                <w:ilvl w:val="0"/>
                <w:numId w:val="6"/>
              </w:numPr>
            </w:pPr>
            <w:r w:rsidRPr="00763287">
              <w:t>Governing body reviews</w:t>
            </w:r>
          </w:p>
        </w:tc>
      </w:tr>
      <w:tr w:rsidR="00763287" w:rsidRPr="00763287" w:rsidTr="00CA75BB">
        <w:trPr>
          <w:trHeight w:val="419"/>
        </w:trPr>
        <w:tc>
          <w:tcPr>
            <w:tcW w:w="1000" w:type="pct"/>
            <w:shd w:val="clear" w:color="auto" w:fill="95B3D7" w:themeFill="accent1" w:themeFillTint="99"/>
            <w:hideMark/>
          </w:tcPr>
          <w:p w:rsidR="00763287" w:rsidRPr="00763287" w:rsidRDefault="00763287">
            <w:pPr>
              <w:rPr>
                <w:b/>
              </w:rPr>
            </w:pPr>
            <w:r w:rsidRPr="00763287">
              <w:rPr>
                <w:b/>
              </w:rPr>
              <w:t>Statutory moderation and assessment (maintained)</w:t>
            </w: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>
            <w:r w:rsidRPr="00763287">
              <w:rPr>
                <w:b/>
              </w:rPr>
              <w:t>Statutory moderation and assessment (maintained)</w:t>
            </w:r>
          </w:p>
        </w:tc>
        <w:tc>
          <w:tcPr>
            <w:tcW w:w="1000" w:type="pct"/>
            <w:shd w:val="clear" w:color="auto" w:fill="C2D69B" w:themeFill="accent3" w:themeFillTint="99"/>
            <w:hideMark/>
          </w:tcPr>
          <w:p w:rsidR="00763287" w:rsidRPr="00763287" w:rsidRDefault="00763287">
            <w:r w:rsidRPr="00763287">
              <w:t> </w:t>
            </w:r>
            <w:r w:rsidRPr="00763287">
              <w:rPr>
                <w:b/>
              </w:rPr>
              <w:t>Statutory moderation and assessment</w:t>
            </w:r>
          </w:p>
        </w:tc>
        <w:tc>
          <w:tcPr>
            <w:tcW w:w="1000" w:type="pct"/>
            <w:shd w:val="clear" w:color="auto" w:fill="76923C" w:themeFill="accent3" w:themeFillShade="BF"/>
          </w:tcPr>
          <w:p w:rsidR="00763287" w:rsidRPr="00763287" w:rsidRDefault="00633E7C">
            <w:r w:rsidRPr="00633E7C">
              <w:t> </w:t>
            </w:r>
            <w:r w:rsidRPr="00633E7C">
              <w:rPr>
                <w:b/>
              </w:rPr>
              <w:t>Statutory moderation and assessment</w:t>
            </w:r>
          </w:p>
        </w:tc>
        <w:tc>
          <w:tcPr>
            <w:tcW w:w="1000" w:type="pct"/>
            <w:shd w:val="clear" w:color="auto" w:fill="B2A1C7" w:themeFill="accent4" w:themeFillTint="99"/>
            <w:hideMark/>
          </w:tcPr>
          <w:p w:rsidR="00763287" w:rsidRPr="00763287" w:rsidRDefault="00763287">
            <w:r w:rsidRPr="00763287">
              <w:t> </w:t>
            </w:r>
            <w:r w:rsidRPr="00763287">
              <w:rPr>
                <w:b/>
              </w:rPr>
              <w:t>Statutory moderation and assessment</w:t>
            </w:r>
          </w:p>
        </w:tc>
      </w:tr>
      <w:tr w:rsidR="00763287" w:rsidRPr="00763287" w:rsidTr="00597427">
        <w:trPr>
          <w:trHeight w:val="1276"/>
        </w:trPr>
        <w:tc>
          <w:tcPr>
            <w:tcW w:w="1000" w:type="pct"/>
            <w:shd w:val="clear" w:color="auto" w:fill="95B3D7" w:themeFill="accent1" w:themeFillTint="99"/>
            <w:hideMark/>
          </w:tcPr>
          <w:p w:rsidR="00763287" w:rsidRPr="00763287" w:rsidRDefault="00763287" w:rsidP="00390B77">
            <w:pPr>
              <w:pStyle w:val="ListParagraph"/>
              <w:numPr>
                <w:ilvl w:val="0"/>
                <w:numId w:val="7"/>
              </w:numPr>
            </w:pPr>
            <w:r w:rsidRPr="001A12CB">
              <w:rPr>
                <w:highlight w:val="green"/>
              </w:rPr>
              <w:t>Basic moderation and assessment (selected maintained schools only)</w:t>
            </w:r>
          </w:p>
        </w:tc>
        <w:tc>
          <w:tcPr>
            <w:tcW w:w="1000" w:type="pct"/>
            <w:shd w:val="clear" w:color="auto" w:fill="4F81BD" w:themeFill="accent1"/>
          </w:tcPr>
          <w:p w:rsidR="00763287" w:rsidRPr="00763287" w:rsidRDefault="00763287" w:rsidP="00446323">
            <w:pPr>
              <w:pStyle w:val="ListParagraph"/>
              <w:numPr>
                <w:ilvl w:val="0"/>
                <w:numId w:val="7"/>
              </w:numPr>
            </w:pPr>
            <w:r w:rsidRPr="00763287">
              <w:t xml:space="preserve">N/A (see </w:t>
            </w:r>
            <w:r w:rsidR="00446323">
              <w:t>services below</w:t>
            </w:r>
            <w:r w:rsidRPr="00763287">
              <w:t>)</w:t>
            </w:r>
          </w:p>
        </w:tc>
        <w:tc>
          <w:tcPr>
            <w:tcW w:w="1000" w:type="pct"/>
            <w:shd w:val="clear" w:color="auto" w:fill="C2D69B" w:themeFill="accent3" w:themeFillTint="99"/>
            <w:hideMark/>
          </w:tcPr>
          <w:p w:rsidR="001A12CB" w:rsidRDefault="00446323" w:rsidP="00446323">
            <w:pPr>
              <w:pStyle w:val="ListParagraph"/>
              <w:numPr>
                <w:ilvl w:val="0"/>
                <w:numId w:val="7"/>
              </w:numPr>
            </w:pPr>
            <w:r w:rsidRPr="00763287">
              <w:t xml:space="preserve">N/A (see </w:t>
            </w:r>
            <w:r>
              <w:t>services below</w:t>
            </w:r>
            <w:r w:rsidRPr="00763287">
              <w:t>)</w:t>
            </w:r>
          </w:p>
          <w:p w:rsidR="00763287" w:rsidRPr="00763287" w:rsidRDefault="00763287" w:rsidP="00893B11"/>
          <w:p w:rsidR="00763287" w:rsidRPr="00763287" w:rsidRDefault="00763287" w:rsidP="00893B11"/>
        </w:tc>
        <w:tc>
          <w:tcPr>
            <w:tcW w:w="1000" w:type="pct"/>
            <w:shd w:val="clear" w:color="auto" w:fill="76923C" w:themeFill="accent3" w:themeFillShade="BF"/>
          </w:tcPr>
          <w:p w:rsidR="00763287" w:rsidRPr="00763287" w:rsidRDefault="00446323" w:rsidP="00446323">
            <w:pPr>
              <w:pStyle w:val="ListParagraph"/>
              <w:numPr>
                <w:ilvl w:val="0"/>
                <w:numId w:val="7"/>
              </w:numPr>
            </w:pPr>
            <w:r w:rsidRPr="00763287">
              <w:t xml:space="preserve">N/A (see </w:t>
            </w:r>
            <w:r>
              <w:t>services below</w:t>
            </w:r>
            <w:r w:rsidRPr="00763287">
              <w:t>)</w:t>
            </w:r>
          </w:p>
        </w:tc>
        <w:tc>
          <w:tcPr>
            <w:tcW w:w="1000" w:type="pct"/>
            <w:shd w:val="clear" w:color="auto" w:fill="B2A1C7" w:themeFill="accent4" w:themeFillTint="99"/>
            <w:hideMark/>
          </w:tcPr>
          <w:p w:rsidR="00763287" w:rsidRPr="00763287" w:rsidRDefault="00446323" w:rsidP="00446323">
            <w:pPr>
              <w:pStyle w:val="ListParagraph"/>
              <w:numPr>
                <w:ilvl w:val="0"/>
                <w:numId w:val="7"/>
              </w:numPr>
            </w:pPr>
            <w:r w:rsidRPr="00763287">
              <w:t xml:space="preserve">N/A (see </w:t>
            </w:r>
            <w:r>
              <w:t>services below</w:t>
            </w:r>
            <w:r w:rsidRPr="00763287">
              <w:t>)</w:t>
            </w:r>
          </w:p>
        </w:tc>
      </w:tr>
    </w:tbl>
    <w:p w:rsidR="00E11965" w:rsidRDefault="00E11965">
      <w:pPr>
        <w:rPr>
          <w:sz w:val="24"/>
          <w:szCs w:val="24"/>
        </w:rPr>
      </w:pPr>
    </w:p>
    <w:tbl>
      <w:tblPr>
        <w:tblStyle w:val="TableGrid"/>
        <w:tblW w:w="16019" w:type="dxa"/>
        <w:tblInd w:w="-885" w:type="dxa"/>
        <w:tblLook w:val="04A0" w:firstRow="1" w:lastRow="0" w:firstColumn="1" w:lastColumn="0" w:noHBand="0" w:noVBand="1"/>
      </w:tblPr>
      <w:tblGrid>
        <w:gridCol w:w="7972"/>
        <w:gridCol w:w="8047"/>
      </w:tblGrid>
      <w:tr w:rsidR="00AC6DEF" w:rsidTr="00242008">
        <w:tc>
          <w:tcPr>
            <w:tcW w:w="16019" w:type="dxa"/>
            <w:gridSpan w:val="2"/>
            <w:shd w:val="clear" w:color="auto" w:fill="DBE5F1" w:themeFill="accent1" w:themeFillTint="33"/>
          </w:tcPr>
          <w:p w:rsidR="00AC6DEF" w:rsidRPr="00AC6DEF" w:rsidRDefault="00AC6DEF" w:rsidP="00AC6DEF">
            <w:pPr>
              <w:jc w:val="center"/>
              <w:rPr>
                <w:b/>
                <w:sz w:val="24"/>
                <w:szCs w:val="24"/>
              </w:rPr>
            </w:pPr>
            <w:r w:rsidRPr="00AC6DEF">
              <w:rPr>
                <w:b/>
                <w:sz w:val="24"/>
                <w:szCs w:val="24"/>
              </w:rPr>
              <w:t>Separate services by negotiation and/or buy-in</w:t>
            </w:r>
          </w:p>
        </w:tc>
      </w:tr>
      <w:tr w:rsidR="00AC6DEF" w:rsidTr="00242008">
        <w:tc>
          <w:tcPr>
            <w:tcW w:w="7972" w:type="dxa"/>
            <w:shd w:val="clear" w:color="auto" w:fill="92CDDC" w:themeFill="accent5" w:themeFillTint="99"/>
          </w:tcPr>
          <w:p w:rsidR="00AC6DEF" w:rsidRPr="00242008" w:rsidRDefault="00AC6DEF" w:rsidP="00AC6DEF">
            <w:pPr>
              <w:rPr>
                <w:b/>
                <w:sz w:val="24"/>
                <w:szCs w:val="24"/>
              </w:rPr>
            </w:pPr>
            <w:r w:rsidRPr="00242008">
              <w:rPr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8047" w:type="dxa"/>
            <w:shd w:val="clear" w:color="auto" w:fill="FABF8F" w:themeFill="accent6" w:themeFillTint="99"/>
          </w:tcPr>
          <w:p w:rsidR="00AC6DEF" w:rsidRPr="00242008" w:rsidRDefault="00AC6DEF">
            <w:pPr>
              <w:rPr>
                <w:b/>
                <w:sz w:val="24"/>
                <w:szCs w:val="24"/>
              </w:rPr>
            </w:pPr>
            <w:r w:rsidRPr="00242008">
              <w:rPr>
                <w:b/>
                <w:sz w:val="24"/>
                <w:szCs w:val="24"/>
              </w:rPr>
              <w:t>Cost</w:t>
            </w:r>
          </w:p>
        </w:tc>
      </w:tr>
      <w:tr w:rsidR="00AC6DEF" w:rsidTr="00242008">
        <w:tc>
          <w:tcPr>
            <w:tcW w:w="7972" w:type="dxa"/>
            <w:shd w:val="clear" w:color="auto" w:fill="92CDDC" w:themeFill="accent5" w:themeFillTint="99"/>
          </w:tcPr>
          <w:p w:rsidR="00AC6DEF" w:rsidRPr="00AC6DEF" w:rsidRDefault="00AC6DEF" w:rsidP="00F34BFD">
            <w:pPr>
              <w:pStyle w:val="ListParagraph"/>
              <w:numPr>
                <w:ilvl w:val="0"/>
                <w:numId w:val="17"/>
              </w:numPr>
              <w:ind w:left="360"/>
              <w:rPr>
                <w:b/>
                <w:sz w:val="24"/>
                <w:szCs w:val="24"/>
              </w:rPr>
            </w:pPr>
            <w:r w:rsidRPr="00AC6DEF">
              <w:rPr>
                <w:b/>
                <w:sz w:val="24"/>
                <w:szCs w:val="24"/>
              </w:rPr>
              <w:t>Bulk buy</w:t>
            </w:r>
          </w:p>
          <w:p w:rsidR="00AC6DEF" w:rsidRDefault="00AC6DEF" w:rsidP="00F34BFD">
            <w:pPr>
              <w:pStyle w:val="ListParagraph"/>
              <w:numPr>
                <w:ilvl w:val="0"/>
                <w:numId w:val="18"/>
              </w:numPr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Egress</w:t>
            </w:r>
          </w:p>
          <w:p w:rsidR="00AC6DEF" w:rsidRDefault="00AC6DEF" w:rsidP="00F34BFD">
            <w:pPr>
              <w:pStyle w:val="ListParagraph"/>
              <w:numPr>
                <w:ilvl w:val="0"/>
                <w:numId w:val="18"/>
              </w:numPr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Sophos</w:t>
            </w:r>
          </w:p>
          <w:p w:rsidR="00AC6DEF" w:rsidRDefault="00AC6DEF" w:rsidP="00F34BFD">
            <w:pPr>
              <w:pStyle w:val="ListParagraph"/>
              <w:numPr>
                <w:ilvl w:val="0"/>
                <w:numId w:val="18"/>
              </w:numPr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CPOMS</w:t>
            </w:r>
          </w:p>
          <w:p w:rsidR="002D0D4F" w:rsidRPr="002D0D4F" w:rsidRDefault="00AC6DEF" w:rsidP="002D0D4F">
            <w:pPr>
              <w:pStyle w:val="ListParagraph"/>
              <w:numPr>
                <w:ilvl w:val="0"/>
                <w:numId w:val="18"/>
              </w:numPr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packages schools may need where the council can act as a bulk buy purchase to reduce costs for schools</w:t>
            </w:r>
          </w:p>
        </w:tc>
        <w:tc>
          <w:tcPr>
            <w:tcW w:w="8047" w:type="dxa"/>
            <w:shd w:val="clear" w:color="auto" w:fill="FABF8F" w:themeFill="accent6" w:themeFillTint="99"/>
          </w:tcPr>
          <w:p w:rsidR="00AC6DEF" w:rsidRDefault="00AC6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 at time of purchase and dependent on number of schools and potential discount</w:t>
            </w:r>
            <w:r w:rsidR="00263105">
              <w:rPr>
                <w:sz w:val="24"/>
                <w:szCs w:val="24"/>
              </w:rPr>
              <w:t xml:space="preserve"> available</w:t>
            </w:r>
          </w:p>
        </w:tc>
      </w:tr>
      <w:tr w:rsidR="00AC6DEF" w:rsidTr="00242008">
        <w:tc>
          <w:tcPr>
            <w:tcW w:w="7972" w:type="dxa"/>
            <w:shd w:val="clear" w:color="auto" w:fill="92CDDC" w:themeFill="accent5" w:themeFillTint="99"/>
          </w:tcPr>
          <w:p w:rsidR="00AC6DEF" w:rsidRDefault="00AC6DEF" w:rsidP="00F34BFD">
            <w:pPr>
              <w:pStyle w:val="ListParagraph"/>
              <w:numPr>
                <w:ilvl w:val="0"/>
                <w:numId w:val="17"/>
              </w:num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Moderation</w:t>
            </w:r>
          </w:p>
          <w:p w:rsidR="00AC6DEF" w:rsidRDefault="00AC6DEF" w:rsidP="00F34BFD">
            <w:pPr>
              <w:pStyle w:val="ListParagraph"/>
              <w:numPr>
                <w:ilvl w:val="0"/>
                <w:numId w:val="19"/>
              </w:numPr>
              <w:ind w:left="1080"/>
              <w:rPr>
                <w:sz w:val="24"/>
                <w:szCs w:val="24"/>
              </w:rPr>
            </w:pPr>
            <w:r w:rsidRPr="00AC6DEF">
              <w:rPr>
                <w:sz w:val="24"/>
                <w:szCs w:val="24"/>
              </w:rPr>
              <w:t>Training events throughout the year</w:t>
            </w:r>
          </w:p>
          <w:p w:rsidR="00AC6DEF" w:rsidRDefault="00AC6DEF" w:rsidP="00F34BFD">
            <w:pPr>
              <w:pStyle w:val="ListParagraph"/>
              <w:numPr>
                <w:ilvl w:val="0"/>
                <w:numId w:val="19"/>
              </w:numPr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of moderators</w:t>
            </w:r>
          </w:p>
          <w:p w:rsidR="00AC6DEF" w:rsidRPr="00AC6DEF" w:rsidRDefault="00AC6DEF" w:rsidP="00F34BFD">
            <w:pPr>
              <w:pStyle w:val="ListParagraph"/>
              <w:numPr>
                <w:ilvl w:val="0"/>
                <w:numId w:val="19"/>
              </w:numPr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Moderation meetings</w:t>
            </w:r>
          </w:p>
        </w:tc>
        <w:tc>
          <w:tcPr>
            <w:tcW w:w="8047" w:type="dxa"/>
            <w:shd w:val="clear" w:color="auto" w:fill="FABF8F" w:themeFill="accent6" w:themeFillTint="99"/>
          </w:tcPr>
          <w:p w:rsidR="00AC6DEF" w:rsidRDefault="00AC6DEF" w:rsidP="00240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school to pay </w:t>
            </w:r>
            <w:r w:rsidR="00240FCC">
              <w:rPr>
                <w:sz w:val="24"/>
                <w:szCs w:val="24"/>
              </w:rPr>
              <w:t>a fixed sum</w:t>
            </w:r>
            <w:r>
              <w:rPr>
                <w:sz w:val="24"/>
                <w:szCs w:val="24"/>
              </w:rPr>
              <w:t xml:space="preserve"> per key stage regardless of moderation that year or not</w:t>
            </w:r>
            <w:r w:rsidR="00240FCC">
              <w:rPr>
                <w:sz w:val="24"/>
                <w:szCs w:val="24"/>
              </w:rPr>
              <w:t xml:space="preserve"> (to be negotiated this coming term). </w:t>
            </w:r>
          </w:p>
        </w:tc>
      </w:tr>
    </w:tbl>
    <w:p w:rsidR="0039697F" w:rsidRPr="0039697F" w:rsidRDefault="0039697F">
      <w:pPr>
        <w:rPr>
          <w:color w:val="FF0000"/>
        </w:rPr>
      </w:pPr>
    </w:p>
    <w:sectPr w:rsidR="0039697F" w:rsidRPr="0039697F" w:rsidSect="00597427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66B3"/>
    <w:multiLevelType w:val="hybridMultilevel"/>
    <w:tmpl w:val="C72090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F0D07F5"/>
    <w:multiLevelType w:val="hybridMultilevel"/>
    <w:tmpl w:val="0B20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23A8"/>
    <w:multiLevelType w:val="hybridMultilevel"/>
    <w:tmpl w:val="14C2C2E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35071F"/>
    <w:multiLevelType w:val="hybridMultilevel"/>
    <w:tmpl w:val="D37CFC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22A3D"/>
    <w:multiLevelType w:val="hybridMultilevel"/>
    <w:tmpl w:val="69963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170"/>
    <w:multiLevelType w:val="hybridMultilevel"/>
    <w:tmpl w:val="07524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27A2B"/>
    <w:multiLevelType w:val="hybridMultilevel"/>
    <w:tmpl w:val="254A03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2F5AE8"/>
    <w:multiLevelType w:val="hybridMultilevel"/>
    <w:tmpl w:val="F7E4A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2D37BF"/>
    <w:multiLevelType w:val="hybridMultilevel"/>
    <w:tmpl w:val="DA6C0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876A9C"/>
    <w:multiLevelType w:val="hybridMultilevel"/>
    <w:tmpl w:val="3B62715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245FE"/>
    <w:multiLevelType w:val="hybridMultilevel"/>
    <w:tmpl w:val="02526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E68FD"/>
    <w:multiLevelType w:val="hybridMultilevel"/>
    <w:tmpl w:val="1BCA5C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D53B0"/>
    <w:multiLevelType w:val="hybridMultilevel"/>
    <w:tmpl w:val="49387078"/>
    <w:lvl w:ilvl="0" w:tplc="55B0B73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6381A"/>
    <w:multiLevelType w:val="hybridMultilevel"/>
    <w:tmpl w:val="1404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C4E27"/>
    <w:multiLevelType w:val="hybridMultilevel"/>
    <w:tmpl w:val="39F4CE0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22594A"/>
    <w:multiLevelType w:val="hybridMultilevel"/>
    <w:tmpl w:val="881CFD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A47C21"/>
    <w:multiLevelType w:val="hybridMultilevel"/>
    <w:tmpl w:val="B68C8D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D65FD"/>
    <w:multiLevelType w:val="hybridMultilevel"/>
    <w:tmpl w:val="93F24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A7A10"/>
    <w:multiLevelType w:val="hybridMultilevel"/>
    <w:tmpl w:val="3440D4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75A56"/>
    <w:multiLevelType w:val="hybridMultilevel"/>
    <w:tmpl w:val="D7F425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C437A"/>
    <w:multiLevelType w:val="hybridMultilevel"/>
    <w:tmpl w:val="D9C0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13D22"/>
    <w:multiLevelType w:val="hybridMultilevel"/>
    <w:tmpl w:val="2200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E4EAA"/>
    <w:multiLevelType w:val="hybridMultilevel"/>
    <w:tmpl w:val="36747EF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7A0DE5"/>
    <w:multiLevelType w:val="hybridMultilevel"/>
    <w:tmpl w:val="8B7209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0"/>
  </w:num>
  <w:num w:numId="10">
    <w:abstractNumId w:val="14"/>
  </w:num>
  <w:num w:numId="11">
    <w:abstractNumId w:val="23"/>
  </w:num>
  <w:num w:numId="12">
    <w:abstractNumId w:val="9"/>
  </w:num>
  <w:num w:numId="13">
    <w:abstractNumId w:val="1"/>
  </w:num>
  <w:num w:numId="14">
    <w:abstractNumId w:val="2"/>
  </w:num>
  <w:num w:numId="15">
    <w:abstractNumId w:val="6"/>
  </w:num>
  <w:num w:numId="16">
    <w:abstractNumId w:val="11"/>
  </w:num>
  <w:num w:numId="17">
    <w:abstractNumId w:val="21"/>
  </w:num>
  <w:num w:numId="18">
    <w:abstractNumId w:val="22"/>
  </w:num>
  <w:num w:numId="19">
    <w:abstractNumId w:val="15"/>
  </w:num>
  <w:num w:numId="20">
    <w:abstractNumId w:val="16"/>
  </w:num>
  <w:num w:numId="21">
    <w:abstractNumId w:val="18"/>
  </w:num>
  <w:num w:numId="22">
    <w:abstractNumId w:val="13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13"/>
    <w:rsid w:val="00012059"/>
    <w:rsid w:val="00087B6B"/>
    <w:rsid w:val="000B0D63"/>
    <w:rsid w:val="000C7D05"/>
    <w:rsid w:val="00157A71"/>
    <w:rsid w:val="00162D46"/>
    <w:rsid w:val="001A12CB"/>
    <w:rsid w:val="001A4CE9"/>
    <w:rsid w:val="001A56DA"/>
    <w:rsid w:val="00240FCC"/>
    <w:rsid w:val="00242008"/>
    <w:rsid w:val="00263105"/>
    <w:rsid w:val="002C3D37"/>
    <w:rsid w:val="002D0D4F"/>
    <w:rsid w:val="002E14B4"/>
    <w:rsid w:val="002E609D"/>
    <w:rsid w:val="00320DEA"/>
    <w:rsid w:val="0034612A"/>
    <w:rsid w:val="003567A9"/>
    <w:rsid w:val="00360F88"/>
    <w:rsid w:val="0036152C"/>
    <w:rsid w:val="0036234E"/>
    <w:rsid w:val="00385AC7"/>
    <w:rsid w:val="00390B77"/>
    <w:rsid w:val="0039697F"/>
    <w:rsid w:val="00397D4D"/>
    <w:rsid w:val="003C61A0"/>
    <w:rsid w:val="00432113"/>
    <w:rsid w:val="00443699"/>
    <w:rsid w:val="00446323"/>
    <w:rsid w:val="0047341E"/>
    <w:rsid w:val="004E6FC8"/>
    <w:rsid w:val="00532E2A"/>
    <w:rsid w:val="0055681C"/>
    <w:rsid w:val="00574353"/>
    <w:rsid w:val="00595B93"/>
    <w:rsid w:val="00597427"/>
    <w:rsid w:val="00633E7C"/>
    <w:rsid w:val="006A03BB"/>
    <w:rsid w:val="006B48F0"/>
    <w:rsid w:val="006C410C"/>
    <w:rsid w:val="00722536"/>
    <w:rsid w:val="00753219"/>
    <w:rsid w:val="00763287"/>
    <w:rsid w:val="007C435F"/>
    <w:rsid w:val="007D544D"/>
    <w:rsid w:val="007E26D7"/>
    <w:rsid w:val="007F3BE0"/>
    <w:rsid w:val="008117A5"/>
    <w:rsid w:val="00812E9C"/>
    <w:rsid w:val="00893B11"/>
    <w:rsid w:val="008A37A0"/>
    <w:rsid w:val="008B21D3"/>
    <w:rsid w:val="008F1325"/>
    <w:rsid w:val="0098042A"/>
    <w:rsid w:val="009D6905"/>
    <w:rsid w:val="00A8725D"/>
    <w:rsid w:val="00AC6DEF"/>
    <w:rsid w:val="00B770AE"/>
    <w:rsid w:val="00BA6715"/>
    <w:rsid w:val="00BE6518"/>
    <w:rsid w:val="00C2236A"/>
    <w:rsid w:val="00C5139F"/>
    <w:rsid w:val="00C5382F"/>
    <w:rsid w:val="00CA75BB"/>
    <w:rsid w:val="00CE483A"/>
    <w:rsid w:val="00D20B6A"/>
    <w:rsid w:val="00DC232D"/>
    <w:rsid w:val="00DF5C42"/>
    <w:rsid w:val="00E11965"/>
    <w:rsid w:val="00EA1922"/>
    <w:rsid w:val="00EB571A"/>
    <w:rsid w:val="00EC109B"/>
    <w:rsid w:val="00EF05E0"/>
    <w:rsid w:val="00EF1214"/>
    <w:rsid w:val="00F073CA"/>
    <w:rsid w:val="00F245BB"/>
    <w:rsid w:val="00F34BFD"/>
    <w:rsid w:val="00F40CCA"/>
    <w:rsid w:val="00F545FE"/>
    <w:rsid w:val="00F816DC"/>
    <w:rsid w:val="00FA7048"/>
    <w:rsid w:val="00FB3827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3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3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Kyriacou</dc:creator>
  <cp:lastModifiedBy>Duffy Cate</cp:lastModifiedBy>
  <cp:revision>2</cp:revision>
  <cp:lastPrinted>2019-01-21T17:28:00Z</cp:lastPrinted>
  <dcterms:created xsi:type="dcterms:W3CDTF">2019-02-15T09:31:00Z</dcterms:created>
  <dcterms:modified xsi:type="dcterms:W3CDTF">2019-02-15T09:31:00Z</dcterms:modified>
</cp:coreProperties>
</file>