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EDBB4" w14:textId="77777777" w:rsidR="00CF7DE0" w:rsidRPr="00CF7DE0" w:rsidRDefault="00CF7DE0" w:rsidP="00CF7DE0">
      <w:pPr>
        <w:jc w:val="both"/>
        <w:rPr>
          <w:rFonts w:ascii="Arial" w:hAnsi="Arial" w:cs="Arial"/>
          <w:sz w:val="2"/>
          <w:szCs w:val="2"/>
        </w:rPr>
      </w:pPr>
    </w:p>
    <w:p w14:paraId="0051A795" w14:textId="65B8A2AF" w:rsidR="008029BF" w:rsidRPr="00EE3188" w:rsidRDefault="008029BF" w:rsidP="00EE3188">
      <w:pPr>
        <w:jc w:val="center"/>
        <w:rPr>
          <w:rFonts w:ascii="Arial" w:hAnsi="Arial" w:cs="Arial"/>
          <w:b/>
          <w:bCs/>
          <w:sz w:val="36"/>
          <w:szCs w:val="36"/>
        </w:rPr>
      </w:pPr>
      <w:r w:rsidRPr="00EE3188">
        <w:rPr>
          <w:rFonts w:ascii="Arial" w:hAnsi="Arial" w:cs="Arial"/>
          <w:b/>
          <w:bCs/>
          <w:sz w:val="36"/>
          <w:szCs w:val="36"/>
        </w:rPr>
        <w:t>Transitions quick reference guide 2023</w:t>
      </w:r>
    </w:p>
    <w:p w14:paraId="1E91C789" w14:textId="453DC575" w:rsidR="005A7DCE" w:rsidRPr="00EE3188" w:rsidRDefault="00CF7DE0" w:rsidP="00CF7DE0">
      <w:pPr>
        <w:jc w:val="both"/>
        <w:rPr>
          <w:rFonts w:ascii="Arial" w:hAnsi="Arial" w:cs="Arial"/>
          <w:sz w:val="24"/>
          <w:szCs w:val="24"/>
        </w:rPr>
      </w:pPr>
      <w:r w:rsidRPr="00CF7DE0">
        <w:rPr>
          <w:rFonts w:ascii="Arial" w:hAnsi="Arial" w:cs="Arial"/>
          <w:sz w:val="24"/>
          <w:szCs w:val="24"/>
        </w:rPr>
        <w:t>This short reference guide has been prepared to facilitate transitions for children and young people during the summer term. Several good practice guides for each phase are provided to assist with the transition and a flowchart with key dates for admission lists and offer dates.</w:t>
      </w:r>
    </w:p>
    <w:tbl>
      <w:tblPr>
        <w:tblStyle w:val="TableGrid"/>
        <w:tblpPr w:leftFromText="180" w:rightFromText="180" w:vertAnchor="page" w:horzAnchor="margin" w:tblpXSpec="center" w:tblpY="3361"/>
        <w:tblW w:w="10774" w:type="dxa"/>
        <w:tblLook w:val="04A0" w:firstRow="1" w:lastRow="0" w:firstColumn="1" w:lastColumn="0" w:noHBand="0" w:noVBand="1"/>
      </w:tblPr>
      <w:tblGrid>
        <w:gridCol w:w="5246"/>
        <w:gridCol w:w="5528"/>
      </w:tblGrid>
      <w:tr w:rsidR="00EE3188" w:rsidRPr="00CF7DE0" w14:paraId="13DA8DB1" w14:textId="77777777" w:rsidTr="009154BB">
        <w:tc>
          <w:tcPr>
            <w:tcW w:w="10774" w:type="dxa"/>
            <w:gridSpan w:val="2"/>
            <w:shd w:val="clear" w:color="auto" w:fill="ED7D31" w:themeFill="accent2"/>
          </w:tcPr>
          <w:p w14:paraId="5E62EAE7" w14:textId="77777777" w:rsidR="00EE3188" w:rsidRPr="00CF7DE0" w:rsidRDefault="00EE3188" w:rsidP="009154BB">
            <w:pPr>
              <w:jc w:val="center"/>
              <w:rPr>
                <w:rFonts w:ascii="Arial" w:hAnsi="Arial" w:cs="Arial"/>
                <w:b/>
                <w:bCs/>
                <w:color w:val="FFFFFF" w:themeColor="background1"/>
                <w:sz w:val="36"/>
                <w:szCs w:val="36"/>
              </w:rPr>
            </w:pPr>
            <w:r w:rsidRPr="00CF7DE0">
              <w:rPr>
                <w:rFonts w:ascii="Arial" w:hAnsi="Arial" w:cs="Arial"/>
                <w:b/>
                <w:bCs/>
                <w:color w:val="FFFFFF" w:themeColor="background1"/>
                <w:sz w:val="36"/>
                <w:szCs w:val="36"/>
              </w:rPr>
              <w:t>Early Year</w:t>
            </w:r>
            <w:r>
              <w:rPr>
                <w:rFonts w:ascii="Arial" w:hAnsi="Arial" w:cs="Arial"/>
                <w:b/>
                <w:bCs/>
                <w:color w:val="FFFFFF" w:themeColor="background1"/>
                <w:sz w:val="36"/>
                <w:szCs w:val="36"/>
              </w:rPr>
              <w:t>s</w:t>
            </w:r>
          </w:p>
        </w:tc>
      </w:tr>
      <w:tr w:rsidR="00EE3188" w:rsidRPr="00CF7DE0" w14:paraId="5E515658" w14:textId="77777777" w:rsidTr="009154BB">
        <w:tc>
          <w:tcPr>
            <w:tcW w:w="10774" w:type="dxa"/>
            <w:gridSpan w:val="2"/>
          </w:tcPr>
          <w:p w14:paraId="427A76BF" w14:textId="77777777" w:rsidR="00EE3188" w:rsidRPr="00CF7DE0" w:rsidRDefault="00EE3188" w:rsidP="009154BB">
            <w:pPr>
              <w:rPr>
                <w:rFonts w:ascii="Arial" w:hAnsi="Arial" w:cs="Arial"/>
                <w:b/>
                <w:bCs/>
              </w:rPr>
            </w:pPr>
            <w:r w:rsidRPr="00CF7DE0">
              <w:rPr>
                <w:rFonts w:ascii="Calibri" w:eastAsia="Calibri" w:hAnsi="Calibri" w:cs="Times New Roman"/>
                <w:noProof/>
                <w:lang w:eastAsia="en-GB"/>
              </w:rPr>
              <w:drawing>
                <wp:anchor distT="0" distB="0" distL="114300" distR="114300" simplePos="0" relativeHeight="251659264" behindDoc="0" locked="0" layoutInCell="1" allowOverlap="1" wp14:anchorId="75BDF4A9" wp14:editId="135FF307">
                  <wp:simplePos x="0" y="0"/>
                  <wp:positionH relativeFrom="rightMargin">
                    <wp:posOffset>-6664325</wp:posOffset>
                  </wp:positionH>
                  <wp:positionV relativeFrom="paragraph">
                    <wp:posOffset>107950</wp:posOffset>
                  </wp:positionV>
                  <wp:extent cx="819150" cy="1196340"/>
                  <wp:effectExtent l="0" t="0" r="0" b="3810"/>
                  <wp:wrapThrough wrapText="bothSides">
                    <wp:wrapPolygon edited="0">
                      <wp:start x="0" y="0"/>
                      <wp:lineTo x="0" y="21325"/>
                      <wp:lineTo x="21098" y="21325"/>
                      <wp:lineTo x="2109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30911" t="7574" r="31864" b="22417"/>
                          <a:stretch/>
                        </pic:blipFill>
                        <pic:spPr bwMode="auto">
                          <a:xfrm>
                            <a:off x="0" y="0"/>
                            <a:ext cx="819150" cy="1196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7DE0">
              <w:rPr>
                <w:rFonts w:ascii="Arial" w:hAnsi="Arial" w:cs="Arial"/>
                <w:b/>
                <w:bCs/>
              </w:rPr>
              <w:t xml:space="preserve"> </w:t>
            </w:r>
          </w:p>
          <w:p w14:paraId="6F2A671C" w14:textId="77777777" w:rsidR="00EE3188" w:rsidRPr="00CF7DE0" w:rsidRDefault="00EE3188" w:rsidP="009154BB">
            <w:pPr>
              <w:rPr>
                <w:rFonts w:ascii="Arial" w:hAnsi="Arial" w:cs="Arial"/>
              </w:rPr>
            </w:pPr>
            <w:r w:rsidRPr="00CF7DE0">
              <w:rPr>
                <w:rFonts w:ascii="Arial" w:hAnsi="Arial" w:cs="Arial"/>
                <w:b/>
                <w:bCs/>
              </w:rPr>
              <w:t>Early Year transition</w:t>
            </w:r>
            <w:r w:rsidRPr="00CF7DE0">
              <w:rPr>
                <w:rFonts w:ascii="Arial" w:hAnsi="Arial" w:cs="Arial"/>
              </w:rPr>
              <w:t xml:space="preserve"> </w:t>
            </w:r>
            <w:hyperlink r:id="rId7" w:history="1">
              <w:r w:rsidRPr="00CF7DE0">
                <w:rPr>
                  <w:rFonts w:ascii="Arial" w:hAnsi="Arial" w:cs="Arial"/>
                  <w:color w:val="0563C1" w:themeColor="hyperlink"/>
                  <w:u w:val="single"/>
                </w:rPr>
                <w:t>Support Together Early Education Resources (STEER) | The Link (slough.gov.uk)</w:t>
              </w:r>
            </w:hyperlink>
          </w:p>
          <w:p w14:paraId="48C28253" w14:textId="77777777" w:rsidR="00EE3188" w:rsidRPr="00CF7DE0" w:rsidRDefault="00EE3188" w:rsidP="009154BB">
            <w:pPr>
              <w:rPr>
                <w:rFonts w:ascii="Arial" w:hAnsi="Arial" w:cs="Arial"/>
                <w:b/>
                <w:bCs/>
              </w:rPr>
            </w:pPr>
          </w:p>
          <w:p w14:paraId="690E8C62" w14:textId="77777777" w:rsidR="00EE3188" w:rsidRPr="00CF7DE0" w:rsidRDefault="004C7B99" w:rsidP="009154BB">
            <w:pPr>
              <w:rPr>
                <w:rFonts w:ascii="Arial" w:hAnsi="Arial" w:cs="Arial"/>
                <w:color w:val="0563C1" w:themeColor="hyperlink"/>
                <w:u w:val="single"/>
              </w:rPr>
            </w:pPr>
            <w:hyperlink r:id="rId8" w:history="1">
              <w:r w:rsidR="00EE3188" w:rsidRPr="00CF7DE0">
                <w:rPr>
                  <w:rFonts w:ascii="Arial" w:hAnsi="Arial" w:cs="Arial"/>
                  <w:color w:val="0563C1" w:themeColor="hyperlink"/>
                  <w:u w:val="single"/>
                </w:rPr>
                <w:t>Starting primary school - BBC Bitesize</w:t>
              </w:r>
            </w:hyperlink>
            <w:r w:rsidR="00EE3188" w:rsidRPr="00CF7DE0">
              <w:rPr>
                <w:rFonts w:ascii="Arial" w:hAnsi="Arial" w:cs="Arial"/>
                <w:color w:val="0563C1" w:themeColor="hyperlink"/>
                <w:u w:val="single"/>
              </w:rPr>
              <w:t xml:space="preserve"> </w:t>
            </w:r>
            <w:r w:rsidR="00EE3188" w:rsidRPr="00CF7DE0">
              <w:t xml:space="preserve">                  </w:t>
            </w:r>
            <w:hyperlink r:id="rId9" w:history="1">
              <w:r w:rsidR="00EE3188" w:rsidRPr="00CF7DE0">
                <w:rPr>
                  <w:rFonts w:ascii="Arial" w:hAnsi="Arial" w:cs="Arial"/>
                  <w:color w:val="0563C1" w:themeColor="hyperlink"/>
                  <w:u w:val="single"/>
                </w:rPr>
                <w:t>Starting primary school | Family Lives</w:t>
              </w:r>
            </w:hyperlink>
          </w:p>
          <w:p w14:paraId="6E2C6A75" w14:textId="77777777" w:rsidR="00EE3188" w:rsidRPr="00CF7DE0" w:rsidRDefault="00EE3188" w:rsidP="009154BB">
            <w:pPr>
              <w:rPr>
                <w:color w:val="0563C1" w:themeColor="hyperlink"/>
                <w:u w:val="single"/>
              </w:rPr>
            </w:pPr>
            <w:r w:rsidRPr="00CF7DE0">
              <w:rPr>
                <w:rFonts w:ascii="Arial" w:hAnsi="Arial" w:cs="Arial"/>
              </w:rPr>
              <w:t>Transition to reception class:</w:t>
            </w:r>
            <w:r w:rsidRPr="00CF7DE0">
              <w:rPr>
                <w:rFonts w:ascii="Arial" w:hAnsi="Arial" w:cs="Arial"/>
                <w:b/>
                <w:bCs/>
              </w:rPr>
              <w:t xml:space="preserve">  </w:t>
            </w:r>
            <w:hyperlink r:id="rId10" w:history="1">
              <w:r w:rsidRPr="00CF7DE0">
                <w:rPr>
                  <w:rFonts w:ascii="Arial" w:hAnsi="Arial" w:cs="Arial"/>
                  <w:color w:val="0563C1" w:themeColor="hyperlink"/>
                  <w:u w:val="single"/>
                </w:rPr>
                <w:t>Starting school toolkit | PACEY</w:t>
              </w:r>
            </w:hyperlink>
            <w:r w:rsidRPr="00CF7DE0">
              <w:rPr>
                <w:rFonts w:ascii="Arial" w:hAnsi="Arial" w:cs="Arial"/>
                <w:color w:val="0563C1" w:themeColor="hyperlink"/>
                <w:u w:val="single"/>
              </w:rPr>
              <w:t xml:space="preserve">    </w:t>
            </w:r>
            <w:r w:rsidRPr="00CF7DE0">
              <w:object w:dxaOrig="1501" w:dyaOrig="980" w14:anchorId="625705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11" o:title=""/>
                </v:shape>
                <o:OLEObject Type="Embed" ProgID="PowerPoint.Show.12" ShapeID="_x0000_i1025" DrawAspect="Icon" ObjectID="_1746540112" r:id="rId12"/>
              </w:object>
            </w:r>
          </w:p>
          <w:p w14:paraId="38FD090F" w14:textId="77777777" w:rsidR="00EE3188" w:rsidRPr="00CF7DE0" w:rsidRDefault="004C7B99" w:rsidP="009154BB">
            <w:pPr>
              <w:rPr>
                <w:rFonts w:ascii="Arial" w:hAnsi="Arial" w:cs="Arial"/>
                <w:b/>
                <w:bCs/>
              </w:rPr>
            </w:pPr>
            <w:hyperlink r:id="rId13" w:history="1">
              <w:r w:rsidR="00EE3188" w:rsidRPr="00CF7DE0">
                <w:rPr>
                  <w:rFonts w:ascii="Arial" w:hAnsi="Arial" w:cs="Arial"/>
                  <w:b/>
                  <w:bCs/>
                  <w:color w:val="0563C1" w:themeColor="hyperlink"/>
                  <w:u w:val="single"/>
                </w:rPr>
                <w:t>School Ready - Practitioners - YouTube</w:t>
              </w:r>
            </w:hyperlink>
          </w:p>
        </w:tc>
      </w:tr>
      <w:tr w:rsidR="00EE3188" w:rsidRPr="00CF7DE0" w14:paraId="18625E91" w14:textId="77777777" w:rsidTr="009154BB">
        <w:tc>
          <w:tcPr>
            <w:tcW w:w="10774" w:type="dxa"/>
            <w:gridSpan w:val="2"/>
            <w:shd w:val="clear" w:color="auto" w:fill="ED7D31" w:themeFill="accent2"/>
          </w:tcPr>
          <w:p w14:paraId="716A5C43" w14:textId="77777777" w:rsidR="00EE3188" w:rsidRPr="00CF7DE0" w:rsidRDefault="00EE3188" w:rsidP="009154BB">
            <w:pPr>
              <w:jc w:val="center"/>
              <w:rPr>
                <w:rFonts w:ascii="Arial" w:hAnsi="Arial" w:cs="Arial"/>
                <w:b/>
                <w:bCs/>
                <w:color w:val="FFFFFF" w:themeColor="background1"/>
                <w:sz w:val="36"/>
                <w:szCs w:val="36"/>
              </w:rPr>
            </w:pPr>
            <w:r w:rsidRPr="00CF7DE0">
              <w:rPr>
                <w:rFonts w:ascii="Arial" w:hAnsi="Arial" w:cs="Arial"/>
                <w:b/>
                <w:bCs/>
                <w:color w:val="FFFFFF" w:themeColor="background1"/>
                <w:sz w:val="36"/>
                <w:szCs w:val="36"/>
              </w:rPr>
              <w:t>Primary school</w:t>
            </w:r>
          </w:p>
        </w:tc>
      </w:tr>
      <w:tr w:rsidR="00EE3188" w:rsidRPr="00CF7DE0" w14:paraId="31D80562" w14:textId="77777777" w:rsidTr="009154BB">
        <w:tc>
          <w:tcPr>
            <w:tcW w:w="5246" w:type="dxa"/>
          </w:tcPr>
          <w:p w14:paraId="10D2ADA1" w14:textId="77777777" w:rsidR="00EE3188" w:rsidRPr="00CF7DE0" w:rsidRDefault="00EE3188" w:rsidP="009154BB">
            <w:pPr>
              <w:rPr>
                <w:rFonts w:ascii="Arial" w:hAnsi="Arial" w:cs="Arial"/>
              </w:rPr>
            </w:pPr>
            <w:r w:rsidRPr="00CF7DE0">
              <w:rPr>
                <w:rFonts w:ascii="Arial" w:eastAsia="Calibri" w:hAnsi="Arial" w:cs="Arial"/>
                <w:noProof/>
              </w:rPr>
              <w:drawing>
                <wp:inline distT="0" distB="0" distL="0" distR="0" wp14:anchorId="62FB224A" wp14:editId="575F6D6A">
                  <wp:extent cx="1264574" cy="288276"/>
                  <wp:effectExtent l="0" t="0" r="0" b="0"/>
                  <wp:docPr id="8" name="Picture 8" descr="Anna Freud National Centre for Children and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a Freud National Centre for Children and Famili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7239" cy="298002"/>
                          </a:xfrm>
                          <a:prstGeom prst="rect">
                            <a:avLst/>
                          </a:prstGeom>
                          <a:noFill/>
                          <a:ln>
                            <a:noFill/>
                          </a:ln>
                        </pic:spPr>
                      </pic:pic>
                    </a:graphicData>
                  </a:graphic>
                </wp:inline>
              </w:drawing>
            </w:r>
            <w:r w:rsidRPr="00CF7DE0">
              <w:rPr>
                <w:rFonts w:ascii="Arial" w:eastAsia="Calibri" w:hAnsi="Arial" w:cs="Arial"/>
                <w:noProof/>
              </w:rPr>
              <w:t xml:space="preserve"> </w:t>
            </w:r>
            <w:r w:rsidRPr="00CF7DE0">
              <w:rPr>
                <w:rFonts w:ascii="Arial" w:eastAsia="Calibri" w:hAnsi="Arial" w:cs="Arial"/>
                <w:noProof/>
              </w:rPr>
              <w:drawing>
                <wp:inline distT="0" distB="0" distL="0" distR="0" wp14:anchorId="02F55101" wp14:editId="18315082">
                  <wp:extent cx="770411" cy="370390"/>
                  <wp:effectExtent l="0" t="0" r="0" b="0"/>
                  <wp:docPr id="2" name="Picture 2" descr="Heads Together Mentally Health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ds Together Mentally Healthy School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84321" cy="377077"/>
                          </a:xfrm>
                          <a:prstGeom prst="rect">
                            <a:avLst/>
                          </a:prstGeom>
                          <a:noFill/>
                          <a:ln>
                            <a:noFill/>
                          </a:ln>
                        </pic:spPr>
                      </pic:pic>
                    </a:graphicData>
                  </a:graphic>
                </wp:inline>
              </w:drawing>
            </w:r>
          </w:p>
          <w:p w14:paraId="7D5BC1DE" w14:textId="77777777" w:rsidR="00EE3188" w:rsidRPr="00CF7DE0" w:rsidRDefault="00EE3188" w:rsidP="009154BB">
            <w:pPr>
              <w:rPr>
                <w:rFonts w:ascii="Arial" w:hAnsi="Arial" w:cs="Arial"/>
              </w:rPr>
            </w:pPr>
          </w:p>
          <w:p w14:paraId="44294D52" w14:textId="77777777" w:rsidR="00EE3188" w:rsidRPr="00CF7DE0" w:rsidRDefault="00EE3188" w:rsidP="009154BB">
            <w:pPr>
              <w:rPr>
                <w:rFonts w:ascii="Arial" w:hAnsi="Arial" w:cs="Arial"/>
                <w:color w:val="0563C1" w:themeColor="hyperlink"/>
                <w:u w:val="single"/>
              </w:rPr>
            </w:pPr>
            <w:r w:rsidRPr="00CF7DE0">
              <w:rPr>
                <w:rFonts w:ascii="Arial" w:hAnsi="Arial" w:cs="Arial"/>
              </w:rPr>
              <w:t>10 practical tips for school staff to help children settle when starting primary school:</w:t>
            </w:r>
            <w:r w:rsidRPr="00CF7DE0">
              <w:rPr>
                <w:rFonts w:ascii="Arial" w:hAnsi="Arial" w:cs="Arial"/>
                <w:b/>
                <w:bCs/>
              </w:rPr>
              <w:t xml:space="preserve"> </w:t>
            </w:r>
            <w:hyperlink r:id="rId16" w:history="1">
              <w:r w:rsidRPr="00CF7DE0">
                <w:rPr>
                  <w:rFonts w:ascii="Arial" w:hAnsi="Arial" w:cs="Arial"/>
                  <w:color w:val="0563C1" w:themeColor="hyperlink"/>
                  <w:u w:val="single"/>
                </w:rPr>
                <w:t>transitions-primary.pdf (mentallyhealthyschools.org.uk)</w:t>
              </w:r>
            </w:hyperlink>
          </w:p>
          <w:p w14:paraId="7F881D60" w14:textId="77777777" w:rsidR="00EE3188" w:rsidRPr="00CF7DE0" w:rsidRDefault="00EE3188" w:rsidP="009154BB">
            <w:pPr>
              <w:rPr>
                <w:rFonts w:ascii="Arial" w:hAnsi="Arial" w:cs="Arial"/>
                <w:b/>
                <w:bCs/>
              </w:rPr>
            </w:pPr>
          </w:p>
        </w:tc>
        <w:tc>
          <w:tcPr>
            <w:tcW w:w="5528" w:type="dxa"/>
            <w:vMerge w:val="restart"/>
          </w:tcPr>
          <w:p w14:paraId="23DBDCDE" w14:textId="77777777" w:rsidR="00EE3188" w:rsidRPr="00CF7DE0" w:rsidRDefault="00EE3188" w:rsidP="009154BB">
            <w:pPr>
              <w:rPr>
                <w:rFonts w:ascii="Arial" w:hAnsi="Arial" w:cs="Arial"/>
              </w:rPr>
            </w:pPr>
            <w:r w:rsidRPr="00CF7DE0">
              <w:rPr>
                <w:rFonts w:ascii="Arial" w:hAnsi="Arial" w:cs="Arial"/>
                <w:b/>
                <w:bCs/>
              </w:rPr>
              <w:t xml:space="preserve"> </w:t>
            </w:r>
            <w:r w:rsidRPr="00CF7DE0">
              <w:rPr>
                <w:rFonts w:ascii="Arial" w:hAnsi="Arial" w:cs="Arial"/>
              </w:rPr>
              <w:t xml:space="preserve"> </w:t>
            </w:r>
            <w:r w:rsidRPr="00CF7DE0">
              <w:rPr>
                <w:noProof/>
              </w:rPr>
              <w:drawing>
                <wp:anchor distT="0" distB="0" distL="114300" distR="114300" simplePos="0" relativeHeight="251660288" behindDoc="1" locked="0" layoutInCell="1" allowOverlap="1" wp14:anchorId="36EA4719" wp14:editId="54B65994">
                  <wp:simplePos x="0" y="0"/>
                  <wp:positionH relativeFrom="column">
                    <wp:posOffset>42545</wp:posOffset>
                  </wp:positionH>
                  <wp:positionV relativeFrom="paragraph">
                    <wp:posOffset>-1270</wp:posOffset>
                  </wp:positionV>
                  <wp:extent cx="1025525" cy="285750"/>
                  <wp:effectExtent l="0" t="0" r="3175" b="0"/>
                  <wp:wrapTight wrapText="bothSides">
                    <wp:wrapPolygon edited="0">
                      <wp:start x="0" y="0"/>
                      <wp:lineTo x="0" y="20160"/>
                      <wp:lineTo x="21266" y="20160"/>
                      <wp:lineTo x="21266" y="0"/>
                      <wp:lineTo x="0" y="0"/>
                    </wp:wrapPolygon>
                  </wp:wrapTight>
                  <wp:docPr id="13" name="Picture 13" descr="Image result for nspcc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spcc logos"/>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7037" r="2835" b="37037"/>
                          <a:stretch/>
                        </pic:blipFill>
                        <pic:spPr bwMode="auto">
                          <a:xfrm>
                            <a:off x="0" y="0"/>
                            <a:ext cx="1025525" cy="285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7DE0">
              <w:rPr>
                <w:rFonts w:ascii="Verdana" w:eastAsia="Calibri" w:hAnsi="Verdana" w:cs="Times New Roman"/>
              </w:rPr>
              <w:t xml:space="preserve"> </w:t>
            </w:r>
            <w:r w:rsidRPr="00CF7DE0">
              <w:rPr>
                <w:rFonts w:ascii="Arial" w:hAnsi="Arial" w:cs="Arial"/>
              </w:rPr>
              <w:t>Lesson plans, designed for the final year of primary school, explores the conflicting feelings that young people may have about starting secondary school and teaches them ways to express these feelings and manage this transition positively</w:t>
            </w:r>
          </w:p>
          <w:p w14:paraId="44B50731" w14:textId="77777777" w:rsidR="00EE3188" w:rsidRPr="00CF7DE0" w:rsidRDefault="00EE3188" w:rsidP="009154BB"/>
          <w:p w14:paraId="6FE1B4C5" w14:textId="77777777" w:rsidR="00EE3188" w:rsidRPr="00CF7DE0" w:rsidRDefault="00EE3188" w:rsidP="009154BB">
            <w:r w:rsidRPr="00CF7DE0">
              <w:object w:dxaOrig="1501" w:dyaOrig="980" w14:anchorId="3F88DB7B">
                <v:shape id="_x0000_i1026" type="#_x0000_t75" style="width:75pt;height:49pt" o:ole="">
                  <v:imagedata r:id="rId18" o:title=""/>
                </v:shape>
                <o:OLEObject Type="Embed" ProgID="Package" ShapeID="_x0000_i1026" DrawAspect="Icon" ObjectID="_1746540113" r:id="rId19"/>
              </w:object>
            </w:r>
            <w:r w:rsidRPr="00CF7DE0">
              <w:object w:dxaOrig="1501" w:dyaOrig="980" w14:anchorId="0058E29E">
                <v:shape id="_x0000_i1027" type="#_x0000_t75" style="width:75pt;height:49pt" o:ole="">
                  <v:imagedata r:id="rId20" o:title=""/>
                </v:shape>
                <o:OLEObject Type="Embed" ProgID="Package" ShapeID="_x0000_i1027" DrawAspect="Icon" ObjectID="_1746540114" r:id="rId21"/>
              </w:object>
            </w:r>
            <w:r w:rsidRPr="00CF7DE0">
              <w:object w:dxaOrig="1501" w:dyaOrig="980" w14:anchorId="6CFA6E35">
                <v:shape id="_x0000_i1028" type="#_x0000_t75" style="width:75pt;height:49pt" o:ole="">
                  <v:imagedata r:id="rId22" o:title=""/>
                </v:shape>
                <o:OLEObject Type="Embed" ProgID="Package" ShapeID="_x0000_i1028" DrawAspect="Icon" ObjectID="_1746540115" r:id="rId23"/>
              </w:object>
            </w:r>
          </w:p>
          <w:p w14:paraId="40E0DED4" w14:textId="77777777" w:rsidR="00EE3188" w:rsidRPr="00CF7DE0" w:rsidRDefault="00EE3188" w:rsidP="009154BB">
            <w:pPr>
              <w:rPr>
                <w:rFonts w:ascii="Arial" w:hAnsi="Arial" w:cs="Arial"/>
              </w:rPr>
            </w:pPr>
            <w:r w:rsidRPr="00CF7DE0">
              <w:rPr>
                <w:rFonts w:ascii="Arial" w:hAnsi="Arial" w:cs="Arial"/>
              </w:rPr>
              <w:t>This animation and accompanying teacher toolkit is aimed at supporting pupils who have recently started Year 7</w:t>
            </w:r>
          </w:p>
          <w:p w14:paraId="0DD14F33" w14:textId="77777777" w:rsidR="00EE3188" w:rsidRPr="00CF7DE0" w:rsidRDefault="004C7B99" w:rsidP="009154BB">
            <w:pPr>
              <w:rPr>
                <w:rFonts w:ascii="Arial" w:hAnsi="Arial" w:cs="Arial"/>
              </w:rPr>
            </w:pPr>
            <w:hyperlink r:id="rId24" w:history="1">
              <w:r w:rsidR="00EE3188" w:rsidRPr="00CF7DE0">
                <w:rPr>
                  <w:rFonts w:ascii="Arial" w:hAnsi="Arial" w:cs="Arial"/>
                  <w:b/>
                  <w:bCs/>
                  <w:color w:val="0563C1" w:themeColor="hyperlink"/>
                  <w:u w:val="single"/>
                </w:rPr>
                <w:t>Moving Up! The transition to secondary school: animation &amp; teacher toolkit (annafreud.org)</w:t>
              </w:r>
            </w:hyperlink>
          </w:p>
        </w:tc>
      </w:tr>
      <w:tr w:rsidR="00EE3188" w:rsidRPr="00CF7DE0" w14:paraId="47F6BA41" w14:textId="77777777" w:rsidTr="009154BB">
        <w:tc>
          <w:tcPr>
            <w:tcW w:w="5246" w:type="dxa"/>
          </w:tcPr>
          <w:p w14:paraId="475360BC" w14:textId="77777777" w:rsidR="00EE3188" w:rsidRPr="00CF7DE0" w:rsidRDefault="00EE3188" w:rsidP="009154BB">
            <w:pPr>
              <w:rPr>
                <w:rFonts w:ascii="Arial" w:hAnsi="Arial" w:cs="Arial"/>
              </w:rPr>
            </w:pPr>
            <w:r w:rsidRPr="00CF7DE0">
              <w:rPr>
                <w:rFonts w:ascii="Arial" w:hAnsi="Arial" w:cs="Arial"/>
                <w:b/>
                <w:bCs/>
              </w:rPr>
              <w:t>Transition toolkit:</w:t>
            </w:r>
            <w:r w:rsidRPr="00CF7DE0">
              <w:rPr>
                <w:rFonts w:ascii="Arial" w:hAnsi="Arial" w:cs="Arial"/>
              </w:rPr>
              <w:t xml:space="preserve"> resources for starting, changing or leaving school or college</w:t>
            </w:r>
          </w:p>
          <w:p w14:paraId="64B2E7DB" w14:textId="77777777" w:rsidR="00EE3188" w:rsidRPr="00CF7DE0" w:rsidRDefault="00EE3188" w:rsidP="009154BB">
            <w:pPr>
              <w:rPr>
                <w:rFonts w:ascii="Arial" w:hAnsi="Arial" w:cs="Arial"/>
              </w:rPr>
            </w:pPr>
          </w:p>
          <w:p w14:paraId="3E75BB6A" w14:textId="77777777" w:rsidR="00EE3188" w:rsidRPr="00CF7DE0" w:rsidRDefault="00EE3188" w:rsidP="009154BB">
            <w:pPr>
              <w:rPr>
                <w:rFonts w:ascii="Arial" w:hAnsi="Arial" w:cs="Arial"/>
              </w:rPr>
            </w:pPr>
            <w:r w:rsidRPr="00CF7DE0">
              <w:rPr>
                <w:rFonts w:ascii="Arial" w:hAnsi="Arial" w:cs="Arial"/>
              </w:rPr>
              <w:t>What a good transition process from primary to secondary looks like – five simple steps:</w:t>
            </w:r>
          </w:p>
          <w:p w14:paraId="45A398D7" w14:textId="77777777" w:rsidR="00EE3188" w:rsidRPr="00CF7DE0" w:rsidRDefault="00EE3188" w:rsidP="009154BB">
            <w:pPr>
              <w:rPr>
                <w:rFonts w:ascii="Arial" w:hAnsi="Arial" w:cs="Arial"/>
              </w:rPr>
            </w:pPr>
            <w:r w:rsidRPr="00CF7DE0">
              <w:rPr>
                <w:rFonts w:ascii="Arial" w:hAnsi="Arial" w:cs="Arial"/>
              </w:rPr>
              <w:t>Primary toolkit</w:t>
            </w:r>
            <w:r w:rsidRPr="00CF7DE0">
              <w:rPr>
                <w:rFonts w:ascii="Arial" w:hAnsi="Arial" w:cs="Arial"/>
                <w:b/>
                <w:bCs/>
              </w:rPr>
              <w:t>:</w:t>
            </w:r>
            <w:r w:rsidRPr="00CF7DE0">
              <w:rPr>
                <w:rFonts w:ascii="Arial" w:hAnsi="Arial" w:cs="Arial"/>
              </w:rPr>
              <w:t xml:space="preserve"> </w:t>
            </w:r>
            <w:hyperlink r:id="rId25" w:history="1">
              <w:r w:rsidRPr="00CF7DE0">
                <w:rPr>
                  <w:rFonts w:ascii="Arial" w:hAnsi="Arial" w:cs="Arial"/>
                  <w:color w:val="0563C1" w:themeColor="hyperlink"/>
                  <w:u w:val="single"/>
                </w:rPr>
                <w:t>MHS primary transitions toolkit (mentallyhealthyschools.org.uk)</w:t>
              </w:r>
            </w:hyperlink>
          </w:p>
          <w:p w14:paraId="302B46F3" w14:textId="77777777" w:rsidR="00EE3188" w:rsidRPr="00CF7DE0" w:rsidRDefault="00EE3188" w:rsidP="009154BB">
            <w:pPr>
              <w:rPr>
                <w:rFonts w:ascii="Arial" w:hAnsi="Arial" w:cs="Arial"/>
                <w:b/>
                <w:bCs/>
              </w:rPr>
            </w:pPr>
          </w:p>
        </w:tc>
        <w:tc>
          <w:tcPr>
            <w:tcW w:w="5528" w:type="dxa"/>
            <w:vMerge/>
          </w:tcPr>
          <w:p w14:paraId="074D9FC3" w14:textId="77777777" w:rsidR="00EE3188" w:rsidRPr="00CF7DE0" w:rsidRDefault="00EE3188" w:rsidP="009154BB">
            <w:pPr>
              <w:rPr>
                <w:rFonts w:ascii="Arial" w:hAnsi="Arial" w:cs="Arial"/>
                <w:b/>
                <w:bCs/>
              </w:rPr>
            </w:pPr>
          </w:p>
        </w:tc>
      </w:tr>
      <w:tr w:rsidR="00EE3188" w:rsidRPr="00CF7DE0" w14:paraId="3C8A6482" w14:textId="77777777" w:rsidTr="009154BB">
        <w:tc>
          <w:tcPr>
            <w:tcW w:w="10774" w:type="dxa"/>
            <w:gridSpan w:val="2"/>
            <w:shd w:val="clear" w:color="auto" w:fill="ED7D31" w:themeFill="accent2"/>
          </w:tcPr>
          <w:p w14:paraId="5F543537" w14:textId="77777777" w:rsidR="00EE3188" w:rsidRPr="00CF7DE0" w:rsidRDefault="00EE3188" w:rsidP="009154BB">
            <w:pPr>
              <w:jc w:val="center"/>
              <w:rPr>
                <w:rFonts w:ascii="Arial" w:hAnsi="Arial" w:cs="Arial"/>
                <w:b/>
                <w:bCs/>
                <w:color w:val="FFFFFF" w:themeColor="background1"/>
                <w:sz w:val="36"/>
                <w:szCs w:val="36"/>
              </w:rPr>
            </w:pPr>
            <w:r w:rsidRPr="00CF7DE0">
              <w:rPr>
                <w:rFonts w:ascii="Arial" w:hAnsi="Arial" w:cs="Arial"/>
                <w:b/>
                <w:bCs/>
                <w:color w:val="FFFFFF" w:themeColor="background1"/>
                <w:sz w:val="36"/>
                <w:szCs w:val="36"/>
              </w:rPr>
              <w:t>Secondary and Post 16+</w:t>
            </w:r>
          </w:p>
        </w:tc>
      </w:tr>
      <w:tr w:rsidR="00EE3188" w:rsidRPr="00CF7DE0" w14:paraId="737D5D86" w14:textId="77777777" w:rsidTr="009154BB">
        <w:tc>
          <w:tcPr>
            <w:tcW w:w="5246" w:type="dxa"/>
          </w:tcPr>
          <w:p w14:paraId="243EADCA" w14:textId="77777777" w:rsidR="00EE3188" w:rsidRPr="00CF7DE0" w:rsidRDefault="00EE3188" w:rsidP="009154BB">
            <w:pPr>
              <w:rPr>
                <w:rFonts w:ascii="Arial" w:hAnsi="Arial" w:cs="Arial"/>
              </w:rPr>
            </w:pPr>
            <w:r w:rsidRPr="00CF7DE0">
              <w:rPr>
                <w:rFonts w:ascii="Arial" w:hAnsi="Arial" w:cs="Arial"/>
                <w:b/>
                <w:bCs/>
              </w:rPr>
              <w:t>Transition toolkit:</w:t>
            </w:r>
            <w:r w:rsidRPr="00CF7DE0">
              <w:rPr>
                <w:rFonts w:ascii="Arial" w:hAnsi="Arial" w:cs="Arial"/>
              </w:rPr>
              <w:t xml:space="preserve"> resources for starting, changing or leaving school or college</w:t>
            </w:r>
          </w:p>
          <w:p w14:paraId="139DDAB4" w14:textId="77777777" w:rsidR="00EE3188" w:rsidRPr="00CF7DE0" w:rsidRDefault="00EE3188" w:rsidP="009154BB"/>
          <w:p w14:paraId="29DBE756" w14:textId="77777777" w:rsidR="00EE3188" w:rsidRPr="00CF7DE0" w:rsidRDefault="004C7B99" w:rsidP="009154BB">
            <w:pPr>
              <w:rPr>
                <w:rFonts w:ascii="Arial" w:hAnsi="Arial" w:cs="Arial"/>
              </w:rPr>
            </w:pPr>
            <w:hyperlink r:id="rId26" w:history="1">
              <w:r w:rsidR="00EE3188" w:rsidRPr="00CF7DE0">
                <w:rPr>
                  <w:rFonts w:ascii="Arial" w:hAnsi="Arial" w:cs="Arial"/>
                  <w:color w:val="0563C1" w:themeColor="hyperlink"/>
                  <w:u w:val="single"/>
                </w:rPr>
                <w:t>Leaving school and future plans : Mentally Healthy Schools</w:t>
              </w:r>
            </w:hyperlink>
          </w:p>
        </w:tc>
        <w:tc>
          <w:tcPr>
            <w:tcW w:w="5528" w:type="dxa"/>
            <w:vMerge w:val="restart"/>
          </w:tcPr>
          <w:p w14:paraId="74468DB4" w14:textId="77777777" w:rsidR="00EE3188" w:rsidRPr="00CF7DE0" w:rsidRDefault="00EE3188" w:rsidP="009154BB">
            <w:pPr>
              <w:rPr>
                <w:rFonts w:ascii="Arial" w:hAnsi="Arial" w:cs="Arial"/>
                <w:b/>
                <w:bCs/>
              </w:rPr>
            </w:pPr>
            <w:r w:rsidRPr="00CF7DE0">
              <w:rPr>
                <w:rFonts w:ascii="Arial" w:hAnsi="Arial" w:cs="Arial"/>
                <w:noProof/>
              </w:rPr>
              <w:drawing>
                <wp:inline distT="0" distB="0" distL="0" distR="0" wp14:anchorId="72977840" wp14:editId="37ED2843">
                  <wp:extent cx="1264574" cy="288276"/>
                  <wp:effectExtent l="0" t="0" r="0" b="0"/>
                  <wp:docPr id="9" name="Picture 9" descr="Anna Freud National Centre for Children and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a Freud National Centre for Children and Famili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7239" cy="298002"/>
                          </a:xfrm>
                          <a:prstGeom prst="rect">
                            <a:avLst/>
                          </a:prstGeom>
                          <a:noFill/>
                          <a:ln>
                            <a:noFill/>
                          </a:ln>
                        </pic:spPr>
                      </pic:pic>
                    </a:graphicData>
                  </a:graphic>
                </wp:inline>
              </w:drawing>
            </w:r>
            <w:r w:rsidRPr="00CF7DE0">
              <w:rPr>
                <w:rFonts w:ascii="Arial" w:hAnsi="Arial" w:cs="Arial"/>
                <w:b/>
                <w:bCs/>
              </w:rPr>
              <w:t xml:space="preserve"> </w:t>
            </w:r>
            <w:r w:rsidRPr="00CF7DE0">
              <w:rPr>
                <w:rFonts w:ascii="Arial" w:hAnsi="Arial" w:cs="Arial"/>
                <w:noProof/>
              </w:rPr>
              <w:drawing>
                <wp:inline distT="0" distB="0" distL="0" distR="0" wp14:anchorId="202E534E" wp14:editId="2C3E9D52">
                  <wp:extent cx="770411" cy="370390"/>
                  <wp:effectExtent l="0" t="0" r="0" b="0"/>
                  <wp:docPr id="10" name="Picture 10" descr="Heads Together Mentally Health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ds Together Mentally Healthy School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84321" cy="377077"/>
                          </a:xfrm>
                          <a:prstGeom prst="rect">
                            <a:avLst/>
                          </a:prstGeom>
                          <a:noFill/>
                          <a:ln>
                            <a:noFill/>
                          </a:ln>
                        </pic:spPr>
                      </pic:pic>
                    </a:graphicData>
                  </a:graphic>
                </wp:inline>
              </w:drawing>
            </w:r>
          </w:p>
          <w:p w14:paraId="51B72CD3" w14:textId="77777777" w:rsidR="00EE3188" w:rsidRPr="00CF7DE0" w:rsidRDefault="00EE3188" w:rsidP="009154BB">
            <w:pPr>
              <w:rPr>
                <w:rFonts w:ascii="Arial" w:hAnsi="Arial" w:cs="Arial"/>
              </w:rPr>
            </w:pPr>
            <w:r w:rsidRPr="00CF7DE0">
              <w:rPr>
                <w:rFonts w:ascii="Arial" w:hAnsi="Arial" w:cs="Arial"/>
              </w:rPr>
              <w:tab/>
            </w:r>
            <w:r w:rsidRPr="00CF7DE0">
              <w:rPr>
                <w:rFonts w:ascii="Arial" w:hAnsi="Arial" w:cs="Arial"/>
                <w:b/>
                <w:bCs/>
              </w:rPr>
              <w:t>Transition toolkit:</w:t>
            </w:r>
            <w:r w:rsidRPr="00CF7DE0">
              <w:rPr>
                <w:rFonts w:ascii="Arial" w:hAnsi="Arial" w:cs="Arial"/>
              </w:rPr>
              <w:t xml:space="preserve"> resources for starting, changing or leaving school or college</w:t>
            </w:r>
          </w:p>
          <w:p w14:paraId="7B3F6CFF" w14:textId="77777777" w:rsidR="00EE3188" w:rsidRPr="00CF7DE0" w:rsidRDefault="00EE3188" w:rsidP="009154BB">
            <w:pPr>
              <w:rPr>
                <w:rFonts w:ascii="Arial" w:hAnsi="Arial" w:cs="Arial"/>
              </w:rPr>
            </w:pPr>
            <w:r w:rsidRPr="00CF7DE0">
              <w:rPr>
                <w:rFonts w:ascii="Arial" w:hAnsi="Arial" w:cs="Arial"/>
              </w:rPr>
              <w:t>Free toolkits for primary, secondary and FE settings, full of practical resources to help pupils and their parents manage changes in their education.</w:t>
            </w:r>
          </w:p>
          <w:p w14:paraId="4B456461" w14:textId="77777777" w:rsidR="00EE3188" w:rsidRPr="00CF7DE0" w:rsidRDefault="00EE3188" w:rsidP="009154BB">
            <w:pPr>
              <w:rPr>
                <w:rFonts w:ascii="Arial" w:hAnsi="Arial" w:cs="Arial"/>
              </w:rPr>
            </w:pPr>
          </w:p>
          <w:p w14:paraId="4028ACE3" w14:textId="77777777" w:rsidR="00EE3188" w:rsidRPr="00CF7DE0" w:rsidRDefault="00EE3188" w:rsidP="009154BB">
            <w:pPr>
              <w:rPr>
                <w:rFonts w:ascii="Arial" w:hAnsi="Arial" w:cs="Arial"/>
              </w:rPr>
            </w:pPr>
          </w:p>
        </w:tc>
      </w:tr>
      <w:tr w:rsidR="00EE3188" w:rsidRPr="00CF7DE0" w14:paraId="32376465" w14:textId="77777777" w:rsidTr="009154BB">
        <w:tc>
          <w:tcPr>
            <w:tcW w:w="5246" w:type="dxa"/>
          </w:tcPr>
          <w:p w14:paraId="2B79CE73" w14:textId="77777777" w:rsidR="00EE3188" w:rsidRPr="00CF7DE0" w:rsidRDefault="00EE3188" w:rsidP="009154BB">
            <w:pPr>
              <w:rPr>
                <w:rFonts w:ascii="Arial" w:hAnsi="Arial" w:cs="Arial"/>
              </w:rPr>
            </w:pPr>
          </w:p>
          <w:p w14:paraId="7AF1D37C" w14:textId="77777777" w:rsidR="00EE3188" w:rsidRPr="00CF7DE0" w:rsidRDefault="00EE3188" w:rsidP="009154BB">
            <w:pPr>
              <w:rPr>
                <w:rFonts w:ascii="Arial" w:hAnsi="Arial" w:cs="Arial"/>
              </w:rPr>
            </w:pPr>
            <w:r w:rsidRPr="00CF7DE0">
              <w:rPr>
                <w:rFonts w:ascii="Arial" w:hAnsi="Arial" w:cs="Arial"/>
              </w:rPr>
              <w:t>The most critical is the move from school to adulthood.</w:t>
            </w:r>
          </w:p>
          <w:p w14:paraId="2A4B47B7" w14:textId="77777777" w:rsidR="00EE3188" w:rsidRPr="00CF7DE0" w:rsidRDefault="00EE3188" w:rsidP="009154BB">
            <w:pPr>
              <w:rPr>
                <w:rFonts w:ascii="Arial" w:hAnsi="Arial" w:cs="Arial"/>
                <w:color w:val="0563C1" w:themeColor="hyperlink"/>
                <w:u w:val="single"/>
              </w:rPr>
            </w:pPr>
            <w:r w:rsidRPr="00CF7DE0">
              <w:rPr>
                <w:rFonts w:ascii="Arial" w:hAnsi="Arial" w:cs="Arial"/>
              </w:rPr>
              <w:t xml:space="preserve">Secondary toolkit: </w:t>
            </w:r>
            <w:hyperlink r:id="rId27" w:history="1">
              <w:r w:rsidRPr="00CF7DE0">
                <w:rPr>
                  <w:rFonts w:ascii="Arial" w:hAnsi="Arial" w:cs="Arial"/>
                  <w:color w:val="0563C1" w:themeColor="hyperlink"/>
                  <w:u w:val="single"/>
                </w:rPr>
                <w:t>MHS secondary transitions toolkit (mentallyhealthyschools.org.uk)</w:t>
              </w:r>
            </w:hyperlink>
          </w:p>
        </w:tc>
        <w:tc>
          <w:tcPr>
            <w:tcW w:w="5528" w:type="dxa"/>
            <w:vMerge/>
          </w:tcPr>
          <w:p w14:paraId="250B0123" w14:textId="77777777" w:rsidR="00EE3188" w:rsidRPr="00CF7DE0" w:rsidRDefault="00EE3188" w:rsidP="009154BB">
            <w:pPr>
              <w:rPr>
                <w:rFonts w:ascii="Arial" w:hAnsi="Arial" w:cs="Arial"/>
                <w:b/>
                <w:bCs/>
              </w:rPr>
            </w:pPr>
          </w:p>
        </w:tc>
      </w:tr>
      <w:tr w:rsidR="00EE3188" w:rsidRPr="00CF7DE0" w14:paraId="3DDFB8F1" w14:textId="77777777" w:rsidTr="009154BB">
        <w:tc>
          <w:tcPr>
            <w:tcW w:w="10774" w:type="dxa"/>
            <w:gridSpan w:val="2"/>
            <w:shd w:val="clear" w:color="auto" w:fill="ED7D31" w:themeFill="accent2"/>
          </w:tcPr>
          <w:p w14:paraId="121357E0" w14:textId="77777777" w:rsidR="00EE3188" w:rsidRPr="00CF7DE0" w:rsidRDefault="00EE3188" w:rsidP="009154BB">
            <w:pPr>
              <w:jc w:val="center"/>
              <w:rPr>
                <w:rFonts w:ascii="Arial" w:hAnsi="Arial" w:cs="Arial"/>
                <w:b/>
                <w:bCs/>
                <w:color w:val="FFFFFF" w:themeColor="background1"/>
                <w:sz w:val="36"/>
                <w:szCs w:val="36"/>
              </w:rPr>
            </w:pPr>
            <w:r w:rsidRPr="00CF7DE0">
              <w:rPr>
                <w:rFonts w:ascii="Arial" w:hAnsi="Arial" w:cs="Arial"/>
                <w:b/>
                <w:bCs/>
                <w:color w:val="FFFFFF" w:themeColor="background1"/>
                <w:sz w:val="36"/>
                <w:szCs w:val="36"/>
              </w:rPr>
              <w:t>Universal information from Education Psychology</w:t>
            </w:r>
          </w:p>
          <w:p w14:paraId="0B1EF668" w14:textId="77777777" w:rsidR="00EE3188" w:rsidRPr="00CF7DE0" w:rsidRDefault="00EE3188" w:rsidP="009154BB">
            <w:pPr>
              <w:jc w:val="center"/>
              <w:rPr>
                <w:rFonts w:ascii="Arial" w:hAnsi="Arial" w:cs="Arial"/>
                <w:b/>
                <w:bCs/>
                <w:color w:val="FFFFFF" w:themeColor="background1"/>
              </w:rPr>
            </w:pPr>
          </w:p>
        </w:tc>
      </w:tr>
      <w:tr w:rsidR="00EE3188" w:rsidRPr="00CF7DE0" w14:paraId="43F6FFBE" w14:textId="77777777" w:rsidTr="009154BB">
        <w:trPr>
          <w:trHeight w:val="46"/>
        </w:trPr>
        <w:tc>
          <w:tcPr>
            <w:tcW w:w="10774" w:type="dxa"/>
            <w:gridSpan w:val="2"/>
          </w:tcPr>
          <w:p w14:paraId="4AC6C221" w14:textId="77777777" w:rsidR="00EE3188" w:rsidRPr="00CF7DE0" w:rsidRDefault="00EE3188" w:rsidP="009154BB">
            <w:pPr>
              <w:rPr>
                <w:rFonts w:ascii="Arial" w:hAnsi="Arial" w:cs="Arial"/>
              </w:rPr>
            </w:pPr>
            <w:r w:rsidRPr="00CF7DE0">
              <w:rPr>
                <w:rFonts w:ascii="Arial" w:hAnsi="Arial" w:cs="Arial"/>
                <w:noProof/>
              </w:rPr>
              <w:drawing>
                <wp:anchor distT="0" distB="0" distL="114300" distR="114300" simplePos="0" relativeHeight="251661312" behindDoc="1" locked="0" layoutInCell="1" allowOverlap="1" wp14:anchorId="79261F4A" wp14:editId="468B452E">
                  <wp:simplePos x="0" y="0"/>
                  <wp:positionH relativeFrom="column">
                    <wp:posOffset>-65405</wp:posOffset>
                  </wp:positionH>
                  <wp:positionV relativeFrom="paragraph">
                    <wp:posOffset>0</wp:posOffset>
                  </wp:positionV>
                  <wp:extent cx="1143000" cy="676910"/>
                  <wp:effectExtent l="0" t="0" r="0" b="8890"/>
                  <wp:wrapThrough wrapText="bothSides">
                    <wp:wrapPolygon edited="0">
                      <wp:start x="0" y="0"/>
                      <wp:lineTo x="0" y="21276"/>
                      <wp:lineTo x="21240" y="21276"/>
                      <wp:lineTo x="21240" y="0"/>
                      <wp:lineTo x="0" y="0"/>
                    </wp:wrapPolygon>
                  </wp:wrapThrough>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1143000" cy="676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7DE0">
              <w:rPr>
                <w:rFonts w:ascii="Arial" w:hAnsi="Arial" w:cs="Arial"/>
              </w:rPr>
              <w:t>The Integrated Support Service ‘</w:t>
            </w:r>
            <w:r w:rsidRPr="00CF7DE0">
              <w:rPr>
                <w:rFonts w:ascii="Arial" w:hAnsi="Arial" w:cs="Arial"/>
                <w:b/>
                <w:bCs/>
              </w:rPr>
              <w:t>readiness to transitions’</w:t>
            </w:r>
            <w:r w:rsidRPr="00CF7DE0">
              <w:rPr>
                <w:rFonts w:ascii="Arial" w:hAnsi="Arial" w:cs="Arial"/>
              </w:rPr>
              <w:t xml:space="preserve"> webinars can be  accessed here:  </w:t>
            </w:r>
            <w:hyperlink r:id="rId30" w:history="1">
              <w:r w:rsidRPr="00CF7DE0">
                <w:rPr>
                  <w:rFonts w:ascii="Arial" w:hAnsi="Arial" w:cs="Arial"/>
                  <w:color w:val="0563C1" w:themeColor="hyperlink"/>
                  <w:u w:val="single"/>
                </w:rPr>
                <w:t>https://www.youtube.com/channel/UCSS1rNoVkOPiLYgdiNg_vaw</w:t>
              </w:r>
            </w:hyperlink>
          </w:p>
          <w:p w14:paraId="461237E4" w14:textId="77777777" w:rsidR="00EE3188" w:rsidRPr="00CF7DE0" w:rsidRDefault="00EE3188" w:rsidP="009154BB">
            <w:pPr>
              <w:rPr>
                <w:rFonts w:ascii="Arial" w:hAnsi="Arial" w:cs="Arial"/>
                <w:sz w:val="24"/>
                <w:szCs w:val="24"/>
              </w:rPr>
            </w:pPr>
          </w:p>
        </w:tc>
      </w:tr>
    </w:tbl>
    <w:p w14:paraId="05427A35" w14:textId="77777777" w:rsidR="00EE3188" w:rsidRDefault="00EE3188" w:rsidP="00CF7DE0">
      <w:pPr>
        <w:jc w:val="both"/>
        <w:rPr>
          <w:rFonts w:ascii="Arial" w:hAnsi="Arial" w:cs="Arial"/>
          <w:b/>
          <w:bCs/>
          <w:sz w:val="24"/>
          <w:szCs w:val="24"/>
        </w:rPr>
      </w:pPr>
    </w:p>
    <w:p w14:paraId="7A71495F" w14:textId="77777777" w:rsidR="00EE3188" w:rsidRDefault="00EE3188" w:rsidP="008029BF">
      <w:pPr>
        <w:jc w:val="center"/>
        <w:rPr>
          <w:rFonts w:ascii="Arial" w:hAnsi="Arial" w:cs="Arial"/>
          <w:b/>
          <w:bCs/>
          <w:sz w:val="36"/>
          <w:szCs w:val="36"/>
        </w:rPr>
      </w:pPr>
    </w:p>
    <w:p w14:paraId="10F1BD86" w14:textId="6C079879" w:rsidR="00CF7DE0" w:rsidRPr="00CF7DE0" w:rsidRDefault="005A7DCE" w:rsidP="008029BF">
      <w:pPr>
        <w:jc w:val="center"/>
        <w:rPr>
          <w:rFonts w:ascii="Arial" w:hAnsi="Arial" w:cs="Arial"/>
          <w:sz w:val="36"/>
          <w:szCs w:val="36"/>
        </w:rPr>
      </w:pPr>
      <w:r w:rsidRPr="005A7DCE">
        <w:rPr>
          <w:rFonts w:ascii="Arial" w:hAnsi="Arial" w:cs="Arial"/>
          <w:b/>
          <w:bCs/>
          <w:sz w:val="36"/>
          <w:szCs w:val="36"/>
        </w:rPr>
        <w:t xml:space="preserve">2023 Admissions </w:t>
      </w:r>
      <w:r w:rsidR="008029BF">
        <w:rPr>
          <w:rFonts w:ascii="Arial" w:hAnsi="Arial" w:cs="Arial"/>
          <w:b/>
          <w:bCs/>
          <w:sz w:val="36"/>
          <w:szCs w:val="36"/>
        </w:rPr>
        <w:t>key dates</w:t>
      </w:r>
    </w:p>
    <w:p w14:paraId="44FF6C9F" w14:textId="14F0E1FA" w:rsidR="00370669" w:rsidRDefault="00370669"/>
    <w:p w14:paraId="2FFCDF75" w14:textId="1B52EE0F" w:rsidR="00CF7DE0" w:rsidRDefault="007A2EAB">
      <w:r>
        <w:rPr>
          <w:rFonts w:ascii="Arial" w:hAnsi="Arial" w:cs="Arial"/>
          <w:b/>
          <w:bCs/>
          <w:noProof/>
          <w:color w:val="FF0000"/>
          <w:sz w:val="32"/>
          <w:szCs w:val="32"/>
        </w:rPr>
        <w:drawing>
          <wp:inline distT="0" distB="0" distL="0" distR="0" wp14:anchorId="1C19DFA1" wp14:editId="72330193">
            <wp:extent cx="6629400" cy="7594600"/>
            <wp:effectExtent l="38100" t="19050" r="76200" b="4445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sectPr w:rsidR="00CF7DE0" w:rsidSect="00EE3188">
      <w:headerReference w:type="default" r:id="rId3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E16502" w14:textId="77777777" w:rsidR="005C0AD2" w:rsidRDefault="005C0AD2" w:rsidP="00CF7DE0">
      <w:pPr>
        <w:spacing w:after="0" w:line="240" w:lineRule="auto"/>
      </w:pPr>
      <w:r>
        <w:separator/>
      </w:r>
    </w:p>
  </w:endnote>
  <w:endnote w:type="continuationSeparator" w:id="0">
    <w:p w14:paraId="02623D8A" w14:textId="77777777" w:rsidR="005C0AD2" w:rsidRDefault="005C0AD2" w:rsidP="00CF7D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86C003" w14:textId="77777777" w:rsidR="005C0AD2" w:rsidRDefault="005C0AD2" w:rsidP="00CF7DE0">
      <w:pPr>
        <w:spacing w:after="0" w:line="240" w:lineRule="auto"/>
      </w:pPr>
      <w:r>
        <w:separator/>
      </w:r>
    </w:p>
  </w:footnote>
  <w:footnote w:type="continuationSeparator" w:id="0">
    <w:p w14:paraId="4C1B9E23" w14:textId="77777777" w:rsidR="005C0AD2" w:rsidRDefault="005C0AD2" w:rsidP="00CF7D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4AC49" w14:textId="05953A2F" w:rsidR="00CF7DE0" w:rsidRDefault="00CF7DE0">
    <w:pPr>
      <w:pStyle w:val="Header"/>
    </w:pPr>
    <w:r>
      <w:rPr>
        <w:rFonts w:ascii="Times New Roman" w:eastAsia="Times New Roman" w:hAnsi="Times New Roman" w:cs="Times New Roman"/>
        <w:noProof/>
        <w:sz w:val="32"/>
        <w:szCs w:val="20"/>
        <w:lang w:eastAsia="en-GB"/>
      </w:rPr>
      <w:drawing>
        <wp:inline distT="0" distB="0" distL="0" distR="0" wp14:anchorId="48E5BE58" wp14:editId="6445907B">
          <wp:extent cx="5731510" cy="535305"/>
          <wp:effectExtent l="0" t="0" r="2540" b="0"/>
          <wp:docPr id="4" name="Picture 4" descr="SBC - black with new strapline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BC - black with new strapline_20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53530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DE0"/>
    <w:rsid w:val="002341B8"/>
    <w:rsid w:val="00235A8D"/>
    <w:rsid w:val="00300E23"/>
    <w:rsid w:val="003276F4"/>
    <w:rsid w:val="00370669"/>
    <w:rsid w:val="004C7B99"/>
    <w:rsid w:val="004E2F12"/>
    <w:rsid w:val="00542C1F"/>
    <w:rsid w:val="005A7DCE"/>
    <w:rsid w:val="005C0AD2"/>
    <w:rsid w:val="007A2EAB"/>
    <w:rsid w:val="007E5A81"/>
    <w:rsid w:val="008029BF"/>
    <w:rsid w:val="0091283C"/>
    <w:rsid w:val="00A92D1A"/>
    <w:rsid w:val="00BB7772"/>
    <w:rsid w:val="00CF7DE0"/>
    <w:rsid w:val="00EE3188"/>
    <w:rsid w:val="00F74C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E3E35AB"/>
  <w15:chartTrackingRefBased/>
  <w15:docId w15:val="{BFD2D929-76C4-4D4B-ACCA-D4315BF81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F7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F7D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7DE0"/>
  </w:style>
  <w:style w:type="paragraph" w:styleId="Footer">
    <w:name w:val="footer"/>
    <w:basedOn w:val="Normal"/>
    <w:link w:val="FooterChar"/>
    <w:uiPriority w:val="99"/>
    <w:unhideWhenUsed/>
    <w:rsid w:val="00CF7D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7D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bc.co.uk/bitesize/collections/starting-primary-school/1" TargetMode="External"/><Relationship Id="rId13" Type="http://schemas.openxmlformats.org/officeDocument/2006/relationships/hyperlink" Target="https://www.youtube.com/watch?v=bN88GS2RBJA" TargetMode="External"/><Relationship Id="rId18" Type="http://schemas.openxmlformats.org/officeDocument/2006/relationships/image" Target="media/image6.emf"/><Relationship Id="rId26" Type="http://schemas.openxmlformats.org/officeDocument/2006/relationships/hyperlink" Target="https://mentallyhealthyschools.org.uk/risks-and-protective-factors/school-based-risk-factors/leaving-school-and-future-plans/" TargetMode="External"/><Relationship Id="rId3" Type="http://schemas.openxmlformats.org/officeDocument/2006/relationships/webSettings" Target="webSettings.xml"/><Relationship Id="rId21" Type="http://schemas.openxmlformats.org/officeDocument/2006/relationships/oleObject" Target="embeddings/oleObject2.bin"/><Relationship Id="rId34" Type="http://schemas.openxmlformats.org/officeDocument/2006/relationships/diagramColors" Target="diagrams/colors1.xml"/><Relationship Id="rId7" Type="http://schemas.openxmlformats.org/officeDocument/2006/relationships/hyperlink" Target="https://thelink.slough.gov.uk/early-years/support-together-early-education-resources-steer" TargetMode="External"/><Relationship Id="rId12" Type="http://schemas.openxmlformats.org/officeDocument/2006/relationships/package" Target="embeddings/Microsoft_PowerPoint_Presentation.pptx"/><Relationship Id="rId17" Type="http://schemas.openxmlformats.org/officeDocument/2006/relationships/image" Target="media/image5.jpeg"/><Relationship Id="rId25" Type="http://schemas.openxmlformats.org/officeDocument/2006/relationships/hyperlink" Target="https://www.mentallyhealthyschools.org.uk/media/2667/primary-transitions-toolkit.pdf" TargetMode="External"/><Relationship Id="rId33" Type="http://schemas.openxmlformats.org/officeDocument/2006/relationships/diagramQuickStyle" Target="diagrams/quickStyle1.xml"/><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yperlink" Target="https://www.mentallyhealthyschools.org.uk/media/1906/transitions-primary.pdf" TargetMode="External"/><Relationship Id="rId20" Type="http://schemas.openxmlformats.org/officeDocument/2006/relationships/image" Target="media/image7.emf"/><Relationship Id="rId29" Type="http://schemas.openxmlformats.org/officeDocument/2006/relationships/image" Target="cid:image001.png@01D824A7.9B191400"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2.emf"/><Relationship Id="rId24" Type="http://schemas.openxmlformats.org/officeDocument/2006/relationships/hyperlink" Target="https://www.annafreud.org/schools-and-colleges/resources/moving-up-the-transition-to-secondary-school-animation-teacher-toolkit/" TargetMode="External"/><Relationship Id="rId32" Type="http://schemas.openxmlformats.org/officeDocument/2006/relationships/diagramLayout" Target="diagrams/layout1.xml"/><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oleObject" Target="embeddings/oleObject3.bin"/><Relationship Id="rId28" Type="http://schemas.openxmlformats.org/officeDocument/2006/relationships/image" Target="media/image9.png"/><Relationship Id="rId36" Type="http://schemas.openxmlformats.org/officeDocument/2006/relationships/header" Target="header1.xml"/><Relationship Id="rId10" Type="http://schemas.openxmlformats.org/officeDocument/2006/relationships/hyperlink" Target="https://www.pacey.org.uk/parents/toolkit/" TargetMode="External"/><Relationship Id="rId19" Type="http://schemas.openxmlformats.org/officeDocument/2006/relationships/oleObject" Target="embeddings/oleObject1.bin"/><Relationship Id="rId31" Type="http://schemas.openxmlformats.org/officeDocument/2006/relationships/diagramData" Target="diagrams/data1.xml"/><Relationship Id="rId4" Type="http://schemas.openxmlformats.org/officeDocument/2006/relationships/footnotes" Target="footnotes.xml"/><Relationship Id="rId9" Type="http://schemas.openxmlformats.org/officeDocument/2006/relationships/hyperlink" Target="https://www.familylives.org.uk/advice/primary/learning-school/starting-primary-school" TargetMode="External"/><Relationship Id="rId14" Type="http://schemas.openxmlformats.org/officeDocument/2006/relationships/image" Target="media/image3.png"/><Relationship Id="rId22" Type="http://schemas.openxmlformats.org/officeDocument/2006/relationships/image" Target="media/image8.emf"/><Relationship Id="rId27" Type="http://schemas.openxmlformats.org/officeDocument/2006/relationships/hyperlink" Target="https://www.mentallyhealthyschools.org.uk/media/2668/secondary-transitions-toolkit.pdf" TargetMode="External"/><Relationship Id="rId30" Type="http://schemas.openxmlformats.org/officeDocument/2006/relationships/hyperlink" Target="https://www.youtube.com/channel/UCSS1rNoVkOPiLYgdiNg_vaw" TargetMode="External"/><Relationship Id="rId35" Type="http://schemas.microsoft.com/office/2007/relationships/diagramDrawing" Target="diagrams/drawing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C7AB3BB-7FCE-42AE-97CB-331374D944E8}" type="doc">
      <dgm:prSet loTypeId="urn:microsoft.com/office/officeart/2005/8/layout/chevron2" loCatId="list" qsTypeId="urn:microsoft.com/office/officeart/2005/8/quickstyle/simple1" qsCatId="simple" csTypeId="urn:microsoft.com/office/officeart/2005/8/colors/accent2_5" csCatId="accent2" phldr="1"/>
      <dgm:spPr/>
      <dgm:t>
        <a:bodyPr/>
        <a:lstStyle/>
        <a:p>
          <a:endParaRPr lang="en-GB"/>
        </a:p>
      </dgm:t>
    </dgm:pt>
    <dgm:pt modelId="{71EF197C-7A4D-478C-9BAA-430322471A82}">
      <dgm:prSet phldrT="[Text]"/>
      <dgm:spPr>
        <a:xfrm rot="5400000">
          <a:off x="-255002" y="255215"/>
          <a:ext cx="1700017" cy="1190012"/>
        </a:xfrm>
        <a:prstGeom prst="chevron">
          <a:avLst/>
        </a:prstGeom>
        <a:solidFill>
          <a:srgbClr val="ED7D31">
            <a:alpha val="90000"/>
            <a:hueOff val="0"/>
            <a:satOff val="0"/>
            <a:lumOff val="0"/>
            <a:alphaOff val="0"/>
          </a:srgbClr>
        </a:solidFill>
        <a:ln w="12700" cap="flat" cmpd="sng" algn="ctr">
          <a:solidFill>
            <a:srgbClr val="ED7D31">
              <a:alpha val="90000"/>
              <a:hueOff val="0"/>
              <a:satOff val="0"/>
              <a:lumOff val="0"/>
              <a:alphaOff val="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National Offer day </a:t>
          </a:r>
        </a:p>
        <a:p>
          <a:pPr>
            <a:buNone/>
          </a:pPr>
          <a:r>
            <a:rPr lang="en-GB" b="1">
              <a:solidFill>
                <a:sysClr val="window" lastClr="FFFFFF"/>
              </a:solidFill>
              <a:latin typeface="Calibri" panose="020F0502020204030204"/>
              <a:ea typeface="+mn-ea"/>
              <a:cs typeface="+mn-cs"/>
            </a:rPr>
            <a:t>1st allocation</a:t>
          </a:r>
        </a:p>
      </dgm:t>
    </dgm:pt>
    <dgm:pt modelId="{07794C0B-6351-4AB2-8D16-2757A0EFA309}" type="parTrans" cxnId="{12358915-F865-4F15-83B5-9E06CD3A5614}">
      <dgm:prSet/>
      <dgm:spPr/>
      <dgm:t>
        <a:bodyPr/>
        <a:lstStyle/>
        <a:p>
          <a:endParaRPr lang="en-GB"/>
        </a:p>
      </dgm:t>
    </dgm:pt>
    <dgm:pt modelId="{6FD94561-3D9F-4A72-890D-53502EDA5CC8}" type="sibTrans" cxnId="{12358915-F865-4F15-83B5-9E06CD3A5614}">
      <dgm:prSet/>
      <dgm:spPr/>
      <dgm:t>
        <a:bodyPr/>
        <a:lstStyle/>
        <a:p>
          <a:endParaRPr lang="en-GB"/>
        </a:p>
      </dgm:t>
    </dgm:pt>
    <dgm:pt modelId="{11483752-897D-4819-8F12-85062B54467E}">
      <dgm:prSet phldrT="[Text]"/>
      <dgm:spPr>
        <a:xfrm rot="5400000">
          <a:off x="3042875" y="-1852650"/>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 All offers are notified to parents and schools on national the offer days below:</a:t>
          </a:r>
          <a:endParaRPr lang="en-GB" b="0">
            <a:solidFill>
              <a:sysClr val="windowText" lastClr="000000">
                <a:hueOff val="0"/>
                <a:satOff val="0"/>
                <a:lumOff val="0"/>
                <a:alphaOff val="0"/>
              </a:sysClr>
            </a:solidFill>
            <a:latin typeface="Calibri" panose="020F0502020204030204"/>
            <a:ea typeface="+mn-ea"/>
            <a:cs typeface="+mn-cs"/>
          </a:endParaRPr>
        </a:p>
      </dgm:t>
    </dgm:pt>
    <dgm:pt modelId="{8D74AB4A-DD88-4632-8ABF-25D1E3CB38AD}" type="parTrans" cxnId="{E31AB35F-33E9-47FA-952B-F4A271E00A31}">
      <dgm:prSet/>
      <dgm:spPr/>
      <dgm:t>
        <a:bodyPr/>
        <a:lstStyle/>
        <a:p>
          <a:endParaRPr lang="en-GB"/>
        </a:p>
      </dgm:t>
    </dgm:pt>
    <dgm:pt modelId="{D3C2D19D-21DC-4019-AF2C-D985E18D4E40}" type="sibTrans" cxnId="{E31AB35F-33E9-47FA-952B-F4A271E00A31}">
      <dgm:prSet/>
      <dgm:spPr/>
      <dgm:t>
        <a:bodyPr/>
        <a:lstStyle/>
        <a:p>
          <a:endParaRPr lang="en-GB"/>
        </a:p>
      </dgm:t>
    </dgm:pt>
    <dgm:pt modelId="{B62FE4ED-90CF-4927-84FA-688CCC16874D}">
      <dgm:prSet phldrT="[Text]"/>
      <dgm:spPr>
        <a:xfrm rot="5400000">
          <a:off x="-255002" y="1828767"/>
          <a:ext cx="1700017" cy="1190012"/>
        </a:xfrm>
        <a:prstGeom prst="chevron">
          <a:avLst/>
        </a:prstGeom>
        <a:solidFill>
          <a:srgbClr val="ED7D31">
            <a:alpha val="90000"/>
            <a:hueOff val="0"/>
            <a:satOff val="0"/>
            <a:lumOff val="0"/>
            <a:alphaOff val="-16000"/>
          </a:srgbClr>
        </a:solidFill>
        <a:ln w="12700" cap="flat" cmpd="sng" algn="ctr">
          <a:solidFill>
            <a:srgbClr val="ED7D31">
              <a:alpha val="90000"/>
              <a:hueOff val="0"/>
              <a:satOff val="0"/>
              <a:lumOff val="0"/>
              <a:alphaOff val="-16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2nd Round of allocations</a:t>
          </a:r>
        </a:p>
      </dgm:t>
    </dgm:pt>
    <dgm:pt modelId="{672EFF64-EC7E-49B1-A0FC-FB3491540998}" type="parTrans" cxnId="{E585E0C6-A2AA-4AE0-B359-67436A4ECC1B}">
      <dgm:prSet/>
      <dgm:spPr/>
      <dgm:t>
        <a:bodyPr/>
        <a:lstStyle/>
        <a:p>
          <a:endParaRPr lang="en-GB"/>
        </a:p>
      </dgm:t>
    </dgm:pt>
    <dgm:pt modelId="{72FAF263-4765-4B99-8705-08628358D937}" type="sibTrans" cxnId="{E585E0C6-A2AA-4AE0-B359-67436A4ECC1B}">
      <dgm:prSet/>
      <dgm:spPr/>
      <dgm:t>
        <a:bodyPr/>
        <a:lstStyle/>
        <a:p>
          <a:endParaRPr lang="en-GB"/>
        </a:p>
      </dgm:t>
    </dgm:pt>
    <dgm:pt modelId="{323A18B7-A923-45CA-A680-A10158BA7918}">
      <dgm:prSet phldrT="[Text]"/>
      <dgm:spPr>
        <a:xfrm rot="5400000">
          <a:off x="3042875" y="-296425"/>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Secondary: </a:t>
          </a:r>
          <a:r>
            <a:rPr lang="en-GB">
              <a:solidFill>
                <a:sysClr val="windowText" lastClr="000000">
                  <a:hueOff val="0"/>
                  <a:satOff val="0"/>
                  <a:lumOff val="0"/>
                  <a:alphaOff val="0"/>
                </a:sysClr>
              </a:solidFill>
              <a:latin typeface="Calibri" panose="020F0502020204030204"/>
              <a:ea typeface="+mn-ea"/>
              <a:cs typeface="+mn-cs"/>
            </a:rPr>
            <a:t>SBC Admissions will issue a second list to all schools</a:t>
          </a:r>
          <a:r>
            <a:rPr lang="en-GB" b="1">
              <a:solidFill>
                <a:sysClr val="windowText" lastClr="000000">
                  <a:hueOff val="0"/>
                  <a:satOff val="0"/>
                  <a:lumOff val="0"/>
                  <a:alphaOff val="0"/>
                </a:sysClr>
              </a:solidFill>
              <a:latin typeface="Calibri" panose="020F0502020204030204"/>
              <a:ea typeface="+mn-ea"/>
              <a:cs typeface="+mn-cs"/>
            </a:rPr>
            <a:t> </a:t>
          </a:r>
          <a:r>
            <a:rPr lang="en-GB" b="0">
              <a:solidFill>
                <a:sysClr val="windowText" lastClr="000000">
                  <a:hueOff val="0"/>
                  <a:satOff val="0"/>
                  <a:lumOff val="0"/>
                  <a:alphaOff val="0"/>
                </a:sysClr>
              </a:solidFill>
              <a:latin typeface="Calibri" panose="020F0502020204030204"/>
              <a:ea typeface="+mn-ea"/>
              <a:cs typeface="+mn-cs"/>
            </a:rPr>
            <a:t>on</a:t>
          </a:r>
          <a:r>
            <a:rPr lang="en-GB" b="1">
              <a:solidFill>
                <a:sysClr val="windowText" lastClr="000000">
                  <a:hueOff val="0"/>
                  <a:satOff val="0"/>
                  <a:lumOff val="0"/>
                  <a:alphaOff val="0"/>
                </a:sysClr>
              </a:solidFill>
              <a:latin typeface="Calibri" panose="020F0502020204030204"/>
              <a:ea typeface="+mn-ea"/>
              <a:cs typeface="+mn-cs"/>
            </a:rPr>
            <a:t> 7 April 2023</a:t>
          </a:r>
        </a:p>
      </dgm:t>
    </dgm:pt>
    <dgm:pt modelId="{6AD7F048-6049-4277-B89C-40BFC8588570}" type="parTrans" cxnId="{E645B638-A3BE-43A6-BBDA-D3895DE3BF0B}">
      <dgm:prSet/>
      <dgm:spPr/>
      <dgm:t>
        <a:bodyPr/>
        <a:lstStyle/>
        <a:p>
          <a:endParaRPr lang="en-GB"/>
        </a:p>
      </dgm:t>
    </dgm:pt>
    <dgm:pt modelId="{29DB7332-8C1B-4181-A626-09083A66D2EC}" type="sibTrans" cxnId="{E645B638-A3BE-43A6-BBDA-D3895DE3BF0B}">
      <dgm:prSet/>
      <dgm:spPr/>
      <dgm:t>
        <a:bodyPr/>
        <a:lstStyle/>
        <a:p>
          <a:endParaRPr lang="en-GB"/>
        </a:p>
      </dgm:t>
    </dgm:pt>
    <dgm:pt modelId="{290217F0-090E-48B3-9F2A-9ED5F0334790}">
      <dgm:prSet phldrT="[Text]"/>
      <dgm:spPr>
        <a:xfrm rot="5400000">
          <a:off x="3042875" y="-1852650"/>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Parents have 15 days to respond to accept or decline a place</a:t>
          </a:r>
        </a:p>
      </dgm:t>
    </dgm:pt>
    <dgm:pt modelId="{89D47341-02D9-4D6C-8A52-6AC362271233}" type="parTrans" cxnId="{E38FD21B-C3E9-4B2D-AC2D-D78A4EEF2344}">
      <dgm:prSet/>
      <dgm:spPr/>
      <dgm:t>
        <a:bodyPr/>
        <a:lstStyle/>
        <a:p>
          <a:endParaRPr lang="en-GB"/>
        </a:p>
      </dgm:t>
    </dgm:pt>
    <dgm:pt modelId="{FBA02205-00C0-4BA1-B58A-848D1C633FCD}" type="sibTrans" cxnId="{E38FD21B-C3E9-4B2D-AC2D-D78A4EEF2344}">
      <dgm:prSet/>
      <dgm:spPr/>
      <dgm:t>
        <a:bodyPr/>
        <a:lstStyle/>
        <a:p>
          <a:endParaRPr lang="en-GB"/>
        </a:p>
      </dgm:t>
    </dgm:pt>
    <dgm:pt modelId="{677D881C-807C-4B91-8B36-3247D3D2FC7C}">
      <dgm:prSet phldrT="[Text]"/>
      <dgm:spPr>
        <a:xfrm rot="5400000">
          <a:off x="3042875" y="-1852650"/>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Schools and SBC to chase and ensure they hvae accpeted place and made provison for child next stage of education</a:t>
          </a:r>
        </a:p>
      </dgm:t>
    </dgm:pt>
    <dgm:pt modelId="{7C994C7E-4325-40AA-A7FD-C929E94BEC9D}" type="parTrans" cxnId="{A667D205-037C-4709-96B8-80790DB35C21}">
      <dgm:prSet/>
      <dgm:spPr/>
      <dgm:t>
        <a:bodyPr/>
        <a:lstStyle/>
        <a:p>
          <a:endParaRPr lang="en-GB"/>
        </a:p>
      </dgm:t>
    </dgm:pt>
    <dgm:pt modelId="{6E363C05-6311-4515-906F-0FAE40F98C81}" type="sibTrans" cxnId="{A667D205-037C-4709-96B8-80790DB35C21}">
      <dgm:prSet/>
      <dgm:spPr/>
      <dgm:t>
        <a:bodyPr/>
        <a:lstStyle/>
        <a:p>
          <a:endParaRPr lang="en-GB"/>
        </a:p>
      </dgm:t>
    </dgm:pt>
    <dgm:pt modelId="{B086D837-DA05-4929-BE41-1D04F336B9D2}">
      <dgm:prSet phldrT="[Text]"/>
      <dgm:spPr>
        <a:xfrm rot="5400000">
          <a:off x="3042875" y="-1852650"/>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Primary schools - 17th April 2023 </a:t>
          </a:r>
          <a:r>
            <a:rPr lang="en-GB" b="0">
              <a:solidFill>
                <a:sysClr val="windowText" lastClr="000000">
                  <a:hueOff val="0"/>
                  <a:satOff val="0"/>
                  <a:lumOff val="0"/>
                  <a:alphaOff val="0"/>
                </a:sysClr>
              </a:solidFill>
              <a:latin typeface="Calibri" panose="020F0502020204030204"/>
              <a:ea typeface="+mn-ea"/>
              <a:cs typeface="+mn-cs"/>
            </a:rPr>
            <a:t>(have 6 choices)</a:t>
          </a:r>
        </a:p>
      </dgm:t>
    </dgm:pt>
    <dgm:pt modelId="{073C3499-A63C-4065-871A-47BC4885DFC0}" type="parTrans" cxnId="{70F374CD-C842-4572-8CFA-2AC0A8A21E2A}">
      <dgm:prSet/>
      <dgm:spPr/>
      <dgm:t>
        <a:bodyPr/>
        <a:lstStyle/>
        <a:p>
          <a:endParaRPr lang="en-GB"/>
        </a:p>
      </dgm:t>
    </dgm:pt>
    <dgm:pt modelId="{CADDEB99-3144-4FFD-849D-A5FD18A7514F}" type="sibTrans" cxnId="{70F374CD-C842-4572-8CFA-2AC0A8A21E2A}">
      <dgm:prSet/>
      <dgm:spPr/>
      <dgm:t>
        <a:bodyPr/>
        <a:lstStyle/>
        <a:p>
          <a:endParaRPr lang="en-GB"/>
        </a:p>
      </dgm:t>
    </dgm:pt>
    <dgm:pt modelId="{27BC1D5D-7479-41A9-98E9-DB8E0A8391C5}">
      <dgm:prSet/>
      <dgm:spPr>
        <a:xfrm rot="5400000">
          <a:off x="-255002" y="3402318"/>
          <a:ext cx="1700017" cy="1190012"/>
        </a:xfrm>
        <a:prstGeom prst="chevron">
          <a:avLst/>
        </a:prstGeom>
        <a:solidFill>
          <a:srgbClr val="ED7D31">
            <a:alpha val="90000"/>
            <a:hueOff val="0"/>
            <a:satOff val="0"/>
            <a:lumOff val="0"/>
            <a:alphaOff val="-24000"/>
          </a:srgbClr>
        </a:solidFill>
        <a:ln w="12700" cap="flat" cmpd="sng" algn="ctr">
          <a:solidFill>
            <a:srgbClr val="ED7D31">
              <a:alpha val="90000"/>
              <a:hueOff val="0"/>
              <a:satOff val="0"/>
              <a:lumOff val="0"/>
              <a:alphaOff val="-24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3rd Round of allocations</a:t>
          </a:r>
        </a:p>
      </dgm:t>
    </dgm:pt>
    <dgm:pt modelId="{703F6A08-2E7C-4865-8B1D-5DAD2C921DD4}" type="parTrans" cxnId="{647C9AAE-1A67-4404-8ED6-D713314E1C6D}">
      <dgm:prSet/>
      <dgm:spPr/>
      <dgm:t>
        <a:bodyPr/>
        <a:lstStyle/>
        <a:p>
          <a:endParaRPr lang="en-GB"/>
        </a:p>
      </dgm:t>
    </dgm:pt>
    <dgm:pt modelId="{765EB80D-5F0A-4498-85C9-CEFAC4B96FF0}" type="sibTrans" cxnId="{647C9AAE-1A67-4404-8ED6-D713314E1C6D}">
      <dgm:prSet/>
      <dgm:spPr/>
      <dgm:t>
        <a:bodyPr/>
        <a:lstStyle/>
        <a:p>
          <a:endParaRPr lang="en-GB"/>
        </a:p>
      </dgm:t>
    </dgm:pt>
    <dgm:pt modelId="{1FA77AD0-F0C8-487D-9324-C38E663CE497}">
      <dgm:prSet/>
      <dgm:spPr>
        <a:xfrm rot="5400000">
          <a:off x="-255002" y="4975870"/>
          <a:ext cx="1700017" cy="1190012"/>
        </a:xfrm>
        <a:prstGeom prst="chevron">
          <a:avLst/>
        </a:prstGeom>
        <a:solidFill>
          <a:srgbClr val="ED7D31">
            <a:alpha val="90000"/>
            <a:hueOff val="0"/>
            <a:satOff val="0"/>
            <a:lumOff val="0"/>
            <a:alphaOff val="-32000"/>
          </a:srgbClr>
        </a:solidFill>
        <a:ln w="12700" cap="flat" cmpd="sng" algn="ctr">
          <a:solidFill>
            <a:srgbClr val="ED7D31">
              <a:alpha val="90000"/>
              <a:hueOff val="0"/>
              <a:satOff val="0"/>
              <a:lumOff val="0"/>
              <a:alphaOff val="-32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Transfer day/ </a:t>
          </a:r>
        </a:p>
        <a:p>
          <a:pPr>
            <a:buNone/>
          </a:pPr>
          <a:r>
            <a:rPr lang="en-GB" b="1">
              <a:solidFill>
                <a:sysClr val="window" lastClr="FFFFFF"/>
              </a:solidFill>
              <a:latin typeface="Calibri" panose="020F0502020204030204"/>
              <a:ea typeface="+mn-ea"/>
              <a:cs typeface="+mn-cs"/>
            </a:rPr>
            <a:t>CTF file transfer</a:t>
          </a:r>
        </a:p>
      </dgm:t>
    </dgm:pt>
    <dgm:pt modelId="{21BEE2AA-9030-4C26-8DCC-61095DDE614B}" type="parTrans" cxnId="{AA8D6CD2-41FF-432A-B8EE-88A6CE3CC23C}">
      <dgm:prSet/>
      <dgm:spPr/>
      <dgm:t>
        <a:bodyPr/>
        <a:lstStyle/>
        <a:p>
          <a:endParaRPr lang="en-GB"/>
        </a:p>
      </dgm:t>
    </dgm:pt>
    <dgm:pt modelId="{9E21C183-8957-49BC-85AC-20C5CFE7946F}" type="sibTrans" cxnId="{AA8D6CD2-41FF-432A-B8EE-88A6CE3CC23C}">
      <dgm:prSet/>
      <dgm:spPr/>
      <dgm:t>
        <a:bodyPr/>
        <a:lstStyle/>
        <a:p>
          <a:endParaRPr lang="en-GB"/>
        </a:p>
      </dgm:t>
    </dgm:pt>
    <dgm:pt modelId="{2BBAB05D-8073-4337-9D77-229D431B94B8}">
      <dgm:prSet phldrT="[Text]"/>
      <dgm:spPr>
        <a:xfrm rot="5400000">
          <a:off x="3042875" y="-296425"/>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Primary: </a:t>
          </a:r>
          <a:r>
            <a:rPr lang="en-GB" b="0">
              <a:solidFill>
                <a:sysClr val="windowText" lastClr="000000">
                  <a:hueOff val="0"/>
                  <a:satOff val="0"/>
                  <a:lumOff val="0"/>
                  <a:alphaOff val="0"/>
                </a:sysClr>
              </a:solidFill>
              <a:latin typeface="Calibri" panose="020F0502020204030204"/>
              <a:ea typeface="+mn-ea"/>
              <a:cs typeface="+mn-cs"/>
            </a:rPr>
            <a:t>SBC Admissions will issue a second list, where applicable  on </a:t>
          </a:r>
          <a:r>
            <a:rPr lang="en-GB" b="1">
              <a:solidFill>
                <a:sysClr val="windowText" lastClr="000000">
                  <a:hueOff val="0"/>
                  <a:satOff val="0"/>
                  <a:lumOff val="0"/>
                  <a:alphaOff val="0"/>
                </a:sysClr>
              </a:solidFill>
              <a:latin typeface="Calibri" panose="020F0502020204030204"/>
              <a:ea typeface="+mn-ea"/>
              <a:cs typeface="+mn-cs"/>
            </a:rPr>
            <a:t>26 May 2023</a:t>
          </a:r>
        </a:p>
      </dgm:t>
    </dgm:pt>
    <dgm:pt modelId="{1FF5E63F-BBEC-4482-BEC3-3A33A79288D6}" type="parTrans" cxnId="{7AE41D70-C7F1-4096-9833-7DAB9E4DCB19}">
      <dgm:prSet/>
      <dgm:spPr/>
      <dgm:t>
        <a:bodyPr/>
        <a:lstStyle/>
        <a:p>
          <a:endParaRPr lang="en-GB"/>
        </a:p>
      </dgm:t>
    </dgm:pt>
    <dgm:pt modelId="{9FEEA10B-1474-45BA-AE5D-25A7F8CFD898}" type="sibTrans" cxnId="{7AE41D70-C7F1-4096-9833-7DAB9E4DCB19}">
      <dgm:prSet/>
      <dgm:spPr/>
      <dgm:t>
        <a:bodyPr/>
        <a:lstStyle/>
        <a:p>
          <a:endParaRPr lang="en-GB"/>
        </a:p>
      </dgm:t>
    </dgm:pt>
    <dgm:pt modelId="{848329B2-29BF-4D9A-8B7B-3FFA2948BBF6}">
      <dgm:prSet/>
      <dgm:spPr>
        <a:xfrm rot="5400000">
          <a:off x="3042875" y="1294453"/>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Secondary: </a:t>
          </a:r>
          <a:r>
            <a:rPr lang="en-GB" b="0">
              <a:solidFill>
                <a:sysClr val="windowText" lastClr="000000">
                  <a:hueOff val="0"/>
                  <a:satOff val="0"/>
                  <a:lumOff val="0"/>
                  <a:alphaOff val="0"/>
                </a:sysClr>
              </a:solidFill>
              <a:latin typeface="Calibri" panose="020F0502020204030204"/>
              <a:ea typeface="+mn-ea"/>
              <a:cs typeface="+mn-cs"/>
            </a:rPr>
            <a:t>SBC Admissions will issue a third list to all secondary schools in </a:t>
          </a:r>
          <a:r>
            <a:rPr lang="en-GB" b="1">
              <a:solidFill>
                <a:sysClr val="windowText" lastClr="000000">
                  <a:hueOff val="0"/>
                  <a:satOff val="0"/>
                  <a:lumOff val="0"/>
                  <a:alphaOff val="0"/>
                </a:sysClr>
              </a:solidFill>
              <a:latin typeface="Calibri" panose="020F0502020204030204"/>
              <a:ea typeface="+mn-ea"/>
              <a:cs typeface="+mn-cs"/>
            </a:rPr>
            <a:t>w/c 8 May 2023</a:t>
          </a:r>
        </a:p>
      </dgm:t>
    </dgm:pt>
    <dgm:pt modelId="{6085CE02-1DC3-4D6F-BE94-8336CB13F7E9}" type="parTrans" cxnId="{DB88D829-C991-4D2D-9FF0-72D42B7759E8}">
      <dgm:prSet/>
      <dgm:spPr/>
      <dgm:t>
        <a:bodyPr/>
        <a:lstStyle/>
        <a:p>
          <a:endParaRPr lang="en-GB"/>
        </a:p>
      </dgm:t>
    </dgm:pt>
    <dgm:pt modelId="{97D2D116-5B10-41D7-ADF9-09DEFC1BFA63}" type="sibTrans" cxnId="{DB88D829-C991-4D2D-9FF0-72D42B7759E8}">
      <dgm:prSet/>
      <dgm:spPr/>
      <dgm:t>
        <a:bodyPr/>
        <a:lstStyle/>
        <a:p>
          <a:endParaRPr lang="en-GB"/>
        </a:p>
      </dgm:t>
    </dgm:pt>
    <dgm:pt modelId="{3220EF7C-F9D1-4188-976A-B0E755239AF7}">
      <dgm:prSet/>
      <dgm:spPr>
        <a:xfrm rot="5400000">
          <a:off x="3042875" y="2868004"/>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 </a:t>
          </a:r>
          <a:r>
            <a:rPr lang="en-GB" b="1">
              <a:solidFill>
                <a:sysClr val="windowText" lastClr="000000">
                  <a:hueOff val="0"/>
                  <a:satOff val="0"/>
                  <a:lumOff val="0"/>
                  <a:alphaOff val="0"/>
                </a:sysClr>
              </a:solidFill>
              <a:latin typeface="Calibri" panose="020F0502020204030204"/>
              <a:ea typeface="+mn-ea"/>
              <a:cs typeface="+mn-cs"/>
            </a:rPr>
            <a:t>4 July 2023 </a:t>
          </a:r>
          <a:r>
            <a:rPr lang="en-GB" b="0">
              <a:solidFill>
                <a:sysClr val="windowText" lastClr="000000">
                  <a:hueOff val="0"/>
                  <a:satOff val="0"/>
                  <a:lumOff val="0"/>
                  <a:alphaOff val="0"/>
                </a:sysClr>
              </a:solidFill>
              <a:latin typeface="Calibri" panose="020F0502020204030204"/>
              <a:ea typeface="+mn-ea"/>
              <a:cs typeface="+mn-cs"/>
            </a:rPr>
            <a:t>- The transfer day can be used for feeder schools to share and discuss cases with onward destination schools and/or a taster (open) day for children to visit schools.</a:t>
          </a:r>
          <a:endParaRPr lang="en-GB">
            <a:solidFill>
              <a:sysClr val="windowText" lastClr="000000">
                <a:hueOff val="0"/>
                <a:satOff val="0"/>
                <a:lumOff val="0"/>
                <a:alphaOff val="0"/>
              </a:sysClr>
            </a:solidFill>
            <a:latin typeface="Calibri" panose="020F0502020204030204"/>
            <a:ea typeface="+mn-ea"/>
            <a:cs typeface="+mn-cs"/>
          </a:endParaRPr>
        </a:p>
      </dgm:t>
    </dgm:pt>
    <dgm:pt modelId="{F7901375-DA63-4640-AE49-B11BBBF15677}" type="parTrans" cxnId="{478D9553-D394-4300-937F-E250FCC880CD}">
      <dgm:prSet/>
      <dgm:spPr/>
      <dgm:t>
        <a:bodyPr/>
        <a:lstStyle/>
        <a:p>
          <a:endParaRPr lang="en-GB"/>
        </a:p>
      </dgm:t>
    </dgm:pt>
    <dgm:pt modelId="{5CA06DFF-D473-4BE0-B497-B6BDB078C7C9}" type="sibTrans" cxnId="{478D9553-D394-4300-937F-E250FCC880CD}">
      <dgm:prSet/>
      <dgm:spPr/>
      <dgm:t>
        <a:bodyPr/>
        <a:lstStyle/>
        <a:p>
          <a:endParaRPr lang="en-GB"/>
        </a:p>
      </dgm:t>
    </dgm:pt>
    <dgm:pt modelId="{2F5D18C0-E41C-493B-9415-F7C906726125}">
      <dgm:prSet/>
      <dgm:spPr>
        <a:xfrm rot="5400000">
          <a:off x="-255002" y="6549422"/>
          <a:ext cx="1700017" cy="1190012"/>
        </a:xfrm>
        <a:prstGeom prst="chevron">
          <a:avLst/>
        </a:prstGeom>
        <a:solidFill>
          <a:srgbClr val="ED7D31">
            <a:alpha val="90000"/>
            <a:hueOff val="0"/>
            <a:satOff val="0"/>
            <a:lumOff val="0"/>
            <a:alphaOff val="-40000"/>
          </a:srgbClr>
        </a:solidFill>
        <a:ln w="12700" cap="flat" cmpd="sng" algn="ctr">
          <a:solidFill>
            <a:srgbClr val="ED7D31">
              <a:alpha val="90000"/>
              <a:hueOff val="0"/>
              <a:satOff val="0"/>
              <a:lumOff val="0"/>
              <a:alphaOff val="-40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CP file transfer </a:t>
          </a:r>
        </a:p>
      </dgm:t>
    </dgm:pt>
    <dgm:pt modelId="{B1F7E332-8F2E-46B8-A0ED-08147A3ED6C3}" type="parTrans" cxnId="{FBDE9D15-43EF-4750-83A1-DD392A54A1D9}">
      <dgm:prSet/>
      <dgm:spPr/>
      <dgm:t>
        <a:bodyPr/>
        <a:lstStyle/>
        <a:p>
          <a:endParaRPr lang="en-GB"/>
        </a:p>
      </dgm:t>
    </dgm:pt>
    <dgm:pt modelId="{BBC5A047-E348-4F4C-BDB9-71B340BCE1CB}" type="sibTrans" cxnId="{FBDE9D15-43EF-4750-83A1-DD392A54A1D9}">
      <dgm:prSet/>
      <dgm:spPr/>
      <dgm:t>
        <a:bodyPr/>
        <a:lstStyle/>
        <a:p>
          <a:endParaRPr lang="en-GB"/>
        </a:p>
      </dgm:t>
    </dgm:pt>
    <dgm:pt modelId="{C286E65C-0C48-4247-88B3-91E142197B88}">
      <dgm:prSet/>
      <dgm:spPr>
        <a:xfrm rot="5400000">
          <a:off x="3042875" y="4441556"/>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Child Protection and Safeguarding must be shared </a:t>
          </a:r>
          <a:r>
            <a:rPr lang="en-GB" b="1">
              <a:solidFill>
                <a:sysClr val="windowText" lastClr="000000">
                  <a:hueOff val="0"/>
                  <a:satOff val="0"/>
                  <a:lumOff val="0"/>
                  <a:alphaOff val="0"/>
                </a:sysClr>
              </a:solidFill>
              <a:latin typeface="Calibri" panose="020F0502020204030204"/>
              <a:ea typeface="+mn-ea"/>
              <a:cs typeface="+mn-cs"/>
            </a:rPr>
            <a:t>within 5 working days </a:t>
          </a:r>
          <a:r>
            <a:rPr lang="en-GB">
              <a:solidFill>
                <a:sysClr val="windowText" lastClr="000000">
                  <a:hueOff val="0"/>
                  <a:satOff val="0"/>
                  <a:lumOff val="0"/>
                  <a:alphaOff val="0"/>
                </a:sysClr>
              </a:solidFill>
              <a:latin typeface="Calibri" panose="020F0502020204030204"/>
              <a:ea typeface="+mn-ea"/>
              <a:cs typeface="+mn-cs"/>
            </a:rPr>
            <a:t>from date child/youg person has started at new destination (September 2023) securely either online and/or phyiscally for paper files and receipt obtained.</a:t>
          </a:r>
        </a:p>
      </dgm:t>
    </dgm:pt>
    <dgm:pt modelId="{36A5AC6E-D274-4E40-83F3-D0DC4EAB786C}" type="parTrans" cxnId="{58B8D154-C539-4BAE-9462-89CE8C0D456D}">
      <dgm:prSet/>
      <dgm:spPr/>
      <dgm:t>
        <a:bodyPr/>
        <a:lstStyle/>
        <a:p>
          <a:endParaRPr lang="en-GB"/>
        </a:p>
      </dgm:t>
    </dgm:pt>
    <dgm:pt modelId="{8228C7D2-628F-41BC-87D9-EA21C074599C}" type="sibTrans" cxnId="{58B8D154-C539-4BAE-9462-89CE8C0D456D}">
      <dgm:prSet/>
      <dgm:spPr/>
      <dgm:t>
        <a:bodyPr/>
        <a:lstStyle/>
        <a:p>
          <a:endParaRPr lang="en-GB"/>
        </a:p>
      </dgm:t>
    </dgm:pt>
    <dgm:pt modelId="{C61592AF-048F-45B2-AB5C-D777FA961CA4}">
      <dgm:prSet phldrT="[Text]"/>
      <dgm:spPr>
        <a:xfrm rot="5400000">
          <a:off x="3042875" y="-296425"/>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gm:spPr>
      <dgm:t>
        <a:bodyPr/>
        <a:lstStyle/>
        <a:p>
          <a:pPr>
            <a:buChar char="•"/>
          </a:pPr>
          <a:r>
            <a:rPr lang="en-GB" b="0">
              <a:solidFill>
                <a:sysClr val="windowText" lastClr="000000">
                  <a:hueOff val="0"/>
                  <a:satOff val="0"/>
                  <a:lumOff val="0"/>
                  <a:alphaOff val="0"/>
                </a:sysClr>
              </a:solidFill>
              <a:latin typeface="Calibri" panose="020F0502020204030204"/>
              <a:ea typeface="+mn-ea"/>
              <a:cs typeface="+mn-cs"/>
            </a:rPr>
            <a:t>This will be a near final list with a few descrepancies where ongoing appeals etc and shifts on waiting lists etc.  </a:t>
          </a:r>
        </a:p>
      </dgm:t>
    </dgm:pt>
    <dgm:pt modelId="{5BDAA115-746E-4C42-A124-FC65C323C65E}" type="parTrans" cxnId="{2A255611-864B-4462-80EF-4F4F8CB634E2}">
      <dgm:prSet/>
      <dgm:spPr/>
      <dgm:t>
        <a:bodyPr/>
        <a:lstStyle/>
        <a:p>
          <a:endParaRPr lang="en-GB"/>
        </a:p>
      </dgm:t>
    </dgm:pt>
    <dgm:pt modelId="{B2FC57C7-A8ED-4A6C-8767-B267E7F4D17D}" type="sibTrans" cxnId="{2A255611-864B-4462-80EF-4F4F8CB634E2}">
      <dgm:prSet/>
      <dgm:spPr/>
      <dgm:t>
        <a:bodyPr/>
        <a:lstStyle/>
        <a:p>
          <a:endParaRPr lang="en-GB"/>
        </a:p>
      </dgm:t>
    </dgm:pt>
    <dgm:pt modelId="{4CCED834-063B-48A0-8049-7855831C79CB}">
      <dgm:prSet/>
      <dgm:spPr>
        <a:xfrm rot="5400000">
          <a:off x="3042875" y="2868004"/>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1st date of the autumn term (September 2023)  to transfer the Common Transfer File (CTF) via the School 2 School (S2S) system </a:t>
          </a:r>
          <a:r>
            <a:rPr lang="en-GB">
              <a:solidFill>
                <a:sysClr val="windowText" lastClr="000000">
                  <a:hueOff val="0"/>
                  <a:satOff val="0"/>
                  <a:lumOff val="0"/>
                  <a:alphaOff val="0"/>
                </a:sysClr>
              </a:solidFill>
              <a:latin typeface="Calibri" panose="020F0502020204030204"/>
              <a:ea typeface="+mn-ea"/>
              <a:cs typeface="+mn-cs"/>
            </a:rPr>
            <a:t>to onward destination. Conversations between schools can take place prior to the official transfer of CTF.</a:t>
          </a:r>
        </a:p>
      </dgm:t>
    </dgm:pt>
    <dgm:pt modelId="{1486AC49-7FDA-483D-9953-0107A86C65BA}" type="parTrans" cxnId="{B102E240-847E-46F7-9E2D-A5926A8AD33B}">
      <dgm:prSet/>
      <dgm:spPr/>
      <dgm:t>
        <a:bodyPr/>
        <a:lstStyle/>
        <a:p>
          <a:endParaRPr lang="en-GB"/>
        </a:p>
      </dgm:t>
    </dgm:pt>
    <dgm:pt modelId="{37F28FFB-310A-4194-B763-75D024159920}" type="sibTrans" cxnId="{B102E240-847E-46F7-9E2D-A5926A8AD33B}">
      <dgm:prSet/>
      <dgm:spPr/>
      <dgm:t>
        <a:bodyPr/>
        <a:lstStyle/>
        <a:p>
          <a:endParaRPr lang="en-GB"/>
        </a:p>
      </dgm:t>
    </dgm:pt>
    <dgm:pt modelId="{F48336C4-A12D-4A1B-87F6-63AE5115C627}">
      <dgm:prSet/>
      <dgm:spPr>
        <a:xfrm rot="5400000">
          <a:off x="3042875" y="2868004"/>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gm:spPr>
      <dgm:t>
        <a:bodyPr/>
        <a:lstStyle/>
        <a:p>
          <a:pPr>
            <a:buChar char="•"/>
          </a:pPr>
          <a:r>
            <a:rPr lang="en-GB" b="0">
              <a:solidFill>
                <a:sysClr val="windowText" lastClr="000000">
                  <a:hueOff val="0"/>
                  <a:satOff val="0"/>
                  <a:lumOff val="0"/>
                  <a:alphaOff val="0"/>
                </a:sysClr>
              </a:solidFill>
              <a:latin typeface="Calibri" panose="020F0502020204030204"/>
              <a:ea typeface="+mn-ea"/>
              <a:cs typeface="+mn-cs"/>
            </a:rPr>
            <a:t>Verbally confirming any needs of children with DT, DSL, SENCO. </a:t>
          </a:r>
        </a:p>
      </dgm:t>
    </dgm:pt>
    <dgm:pt modelId="{6090F963-00FF-4BED-BB72-97A75908FC01}" type="parTrans" cxnId="{EEE3C748-E86A-46FB-BE39-BBFE4D4ABC48}">
      <dgm:prSet/>
      <dgm:spPr/>
      <dgm:t>
        <a:bodyPr/>
        <a:lstStyle/>
        <a:p>
          <a:endParaRPr lang="en-GB"/>
        </a:p>
      </dgm:t>
    </dgm:pt>
    <dgm:pt modelId="{E82C1530-132A-42AB-A456-8428A81A04E9}" type="sibTrans" cxnId="{EEE3C748-E86A-46FB-BE39-BBFE4D4ABC48}">
      <dgm:prSet/>
      <dgm:spPr/>
      <dgm:t>
        <a:bodyPr/>
        <a:lstStyle/>
        <a:p>
          <a:endParaRPr lang="en-GB"/>
        </a:p>
      </dgm:t>
    </dgm:pt>
    <dgm:pt modelId="{0FC55981-C2FA-429A-8287-6BED57C5DDA5}">
      <dgm:prSet/>
      <dgm:spPr>
        <a:xfrm rot="5400000">
          <a:off x="3042875" y="1294453"/>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Primary: </a:t>
          </a:r>
          <a:r>
            <a:rPr lang="en-GB" b="0">
              <a:solidFill>
                <a:sysClr val="windowText" lastClr="000000">
                  <a:hueOff val="0"/>
                  <a:satOff val="0"/>
                  <a:lumOff val="0"/>
                  <a:alphaOff val="0"/>
                </a:sysClr>
              </a:solidFill>
              <a:latin typeface="Calibri" panose="020F0502020204030204"/>
              <a:ea typeface="+mn-ea"/>
              <a:cs typeface="+mn-cs"/>
            </a:rPr>
            <a:t>SBC Admissions will issue a third list to primary schools in </a:t>
          </a:r>
          <a:r>
            <a:rPr lang="en-GB" b="1">
              <a:solidFill>
                <a:sysClr val="windowText" lastClr="000000">
                  <a:hueOff val="0"/>
                  <a:satOff val="0"/>
                  <a:lumOff val="0"/>
                  <a:alphaOff val="0"/>
                </a:sysClr>
              </a:solidFill>
              <a:latin typeface="Calibri" panose="020F0502020204030204"/>
              <a:ea typeface="+mn-ea"/>
              <a:cs typeface="+mn-cs"/>
            </a:rPr>
            <a:t>w/c 19 June 2023</a:t>
          </a:r>
        </a:p>
      </dgm:t>
    </dgm:pt>
    <dgm:pt modelId="{6CAB1376-C4CC-40F5-9287-FC86469E1302}" type="parTrans" cxnId="{FFE9DB22-0893-4AC3-98BB-0852598753FD}">
      <dgm:prSet/>
      <dgm:spPr/>
      <dgm:t>
        <a:bodyPr/>
        <a:lstStyle/>
        <a:p>
          <a:endParaRPr lang="en-GB"/>
        </a:p>
      </dgm:t>
    </dgm:pt>
    <dgm:pt modelId="{CF276BEC-F234-4681-B3CA-84CACB247328}" type="sibTrans" cxnId="{FFE9DB22-0893-4AC3-98BB-0852598753FD}">
      <dgm:prSet/>
      <dgm:spPr/>
      <dgm:t>
        <a:bodyPr/>
        <a:lstStyle/>
        <a:p>
          <a:endParaRPr lang="en-GB"/>
        </a:p>
      </dgm:t>
    </dgm:pt>
    <dgm:pt modelId="{0D71780A-6A56-474E-9082-6B4DE78382BA}">
      <dgm:prSet phldrT="[Text]"/>
      <dgm:spPr>
        <a:xfrm rot="5400000">
          <a:off x="3042875" y="-1852650"/>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Secondary schools - 1st March 2023 </a:t>
          </a:r>
          <a:r>
            <a:rPr lang="en-GB" b="0">
              <a:solidFill>
                <a:sysClr val="windowText" lastClr="000000">
                  <a:hueOff val="0"/>
                  <a:satOff val="0"/>
                  <a:lumOff val="0"/>
                  <a:alphaOff val="0"/>
                </a:sysClr>
              </a:solidFill>
              <a:latin typeface="Calibri" panose="020F0502020204030204"/>
              <a:ea typeface="+mn-ea"/>
              <a:cs typeface="+mn-cs"/>
            </a:rPr>
            <a:t>(have 3 choices)</a:t>
          </a:r>
        </a:p>
      </dgm:t>
    </dgm:pt>
    <dgm:pt modelId="{CCBFAB8C-F77A-43A9-B6CA-DE9DB086AA2F}" type="parTrans" cxnId="{D7AE2F9A-C225-407B-BE6C-D04463CB0510}">
      <dgm:prSet/>
      <dgm:spPr/>
      <dgm:t>
        <a:bodyPr/>
        <a:lstStyle/>
        <a:p>
          <a:endParaRPr lang="en-GB"/>
        </a:p>
      </dgm:t>
    </dgm:pt>
    <dgm:pt modelId="{FE8CBA88-86EF-48B8-9476-A5E607148B8D}" type="sibTrans" cxnId="{D7AE2F9A-C225-407B-BE6C-D04463CB0510}">
      <dgm:prSet/>
      <dgm:spPr/>
      <dgm:t>
        <a:bodyPr/>
        <a:lstStyle/>
        <a:p>
          <a:endParaRPr lang="en-GB"/>
        </a:p>
      </dgm:t>
    </dgm:pt>
    <dgm:pt modelId="{7D8BFFBC-EBB3-4FB3-B109-8F37C9CF48CB}">
      <dgm:prSet/>
      <dgm:spPr>
        <a:xfrm rot="5400000">
          <a:off x="3042875" y="1294453"/>
          <a:ext cx="1105011" cy="4810737"/>
        </a:xfr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gm:spPr>
      <dgm:t>
        <a:bodyPr/>
        <a:lstStyle/>
        <a:p>
          <a:pPr>
            <a:buNone/>
          </a:pPr>
          <a:r>
            <a:rPr lang="en-GB"/>
            <a:t> After the 3</a:t>
          </a:r>
          <a:r>
            <a:rPr lang="en-GB" baseline="30000"/>
            <a:t>rd</a:t>
          </a:r>
          <a:r>
            <a:rPr lang="en-GB"/>
            <a:t> round, applications are considered, and places offered on an individual basis in the order of the date the application was received – subject to availability of places</a:t>
          </a:r>
          <a:endParaRPr lang="en-GB" b="1">
            <a:solidFill>
              <a:sysClr val="windowText" lastClr="000000">
                <a:hueOff val="0"/>
                <a:satOff val="0"/>
                <a:lumOff val="0"/>
                <a:alphaOff val="0"/>
              </a:sysClr>
            </a:solidFill>
            <a:latin typeface="Calibri" panose="020F0502020204030204"/>
            <a:ea typeface="+mn-ea"/>
            <a:cs typeface="+mn-cs"/>
          </a:endParaRPr>
        </a:p>
      </dgm:t>
    </dgm:pt>
    <dgm:pt modelId="{4E282550-4A37-4813-BB51-D563644AB8B2}" type="parTrans" cxnId="{C704385A-CC72-47A4-B926-760DCA051717}">
      <dgm:prSet/>
      <dgm:spPr/>
      <dgm:t>
        <a:bodyPr/>
        <a:lstStyle/>
        <a:p>
          <a:endParaRPr lang="en-GB"/>
        </a:p>
      </dgm:t>
    </dgm:pt>
    <dgm:pt modelId="{B6971629-DB4E-4ADF-BD6C-C90D7D454DCA}" type="sibTrans" cxnId="{C704385A-CC72-47A4-B926-760DCA051717}">
      <dgm:prSet/>
      <dgm:spPr/>
      <dgm:t>
        <a:bodyPr/>
        <a:lstStyle/>
        <a:p>
          <a:endParaRPr lang="en-GB"/>
        </a:p>
      </dgm:t>
    </dgm:pt>
    <dgm:pt modelId="{56559384-5E0E-4D43-A459-A776887B4BDE}" type="pres">
      <dgm:prSet presAssocID="{9C7AB3BB-7FCE-42AE-97CB-331374D944E8}" presName="linearFlow" presStyleCnt="0">
        <dgm:presLayoutVars>
          <dgm:dir/>
          <dgm:animLvl val="lvl"/>
          <dgm:resizeHandles val="exact"/>
        </dgm:presLayoutVars>
      </dgm:prSet>
      <dgm:spPr/>
    </dgm:pt>
    <dgm:pt modelId="{2321C3FC-875D-4470-83FE-FE751505EC3F}" type="pres">
      <dgm:prSet presAssocID="{71EF197C-7A4D-478C-9BAA-430322471A82}" presName="composite" presStyleCnt="0"/>
      <dgm:spPr/>
    </dgm:pt>
    <dgm:pt modelId="{161FEBF9-583D-4F6B-8F55-93BF5D5DF7A8}" type="pres">
      <dgm:prSet presAssocID="{71EF197C-7A4D-478C-9BAA-430322471A82}" presName="parentText" presStyleLbl="alignNode1" presStyleIdx="0" presStyleCnt="5">
        <dgm:presLayoutVars>
          <dgm:chMax val="1"/>
          <dgm:bulletEnabled val="1"/>
        </dgm:presLayoutVars>
      </dgm:prSet>
      <dgm:spPr/>
    </dgm:pt>
    <dgm:pt modelId="{874E1DD6-CC11-4EE6-991C-293812D98DC6}" type="pres">
      <dgm:prSet presAssocID="{71EF197C-7A4D-478C-9BAA-430322471A82}" presName="descendantText" presStyleLbl="alignAcc1" presStyleIdx="0" presStyleCnt="5">
        <dgm:presLayoutVars>
          <dgm:bulletEnabled val="1"/>
        </dgm:presLayoutVars>
      </dgm:prSet>
      <dgm:spPr>
        <a:prstGeom prst="round2SameRect">
          <a:avLst/>
        </a:prstGeom>
      </dgm:spPr>
    </dgm:pt>
    <dgm:pt modelId="{9B52B087-847A-43BB-8DB9-6B12BE55FECD}" type="pres">
      <dgm:prSet presAssocID="{6FD94561-3D9F-4A72-890D-53502EDA5CC8}" presName="sp" presStyleCnt="0"/>
      <dgm:spPr/>
    </dgm:pt>
    <dgm:pt modelId="{2EC462E8-8659-4A84-9CC8-7EECB75D3CC4}" type="pres">
      <dgm:prSet presAssocID="{B62FE4ED-90CF-4927-84FA-688CCC16874D}" presName="composite" presStyleCnt="0"/>
      <dgm:spPr/>
    </dgm:pt>
    <dgm:pt modelId="{28DCF793-0A13-4664-A404-D956F2F86458}" type="pres">
      <dgm:prSet presAssocID="{B62FE4ED-90CF-4927-84FA-688CCC16874D}" presName="parentText" presStyleLbl="alignNode1" presStyleIdx="1" presStyleCnt="5">
        <dgm:presLayoutVars>
          <dgm:chMax val="1"/>
          <dgm:bulletEnabled val="1"/>
        </dgm:presLayoutVars>
      </dgm:prSet>
      <dgm:spPr/>
    </dgm:pt>
    <dgm:pt modelId="{E461C2E5-B3C5-4EDB-A37D-9AFC8E1212E8}" type="pres">
      <dgm:prSet presAssocID="{B62FE4ED-90CF-4927-84FA-688CCC16874D}" presName="descendantText" presStyleLbl="alignAcc1" presStyleIdx="1" presStyleCnt="5" custLinFactNeighborX="0" custLinFactNeighborY="-1568">
        <dgm:presLayoutVars>
          <dgm:bulletEnabled val="1"/>
        </dgm:presLayoutVars>
      </dgm:prSet>
      <dgm:spPr>
        <a:prstGeom prst="round2SameRect">
          <a:avLst/>
        </a:prstGeom>
      </dgm:spPr>
    </dgm:pt>
    <dgm:pt modelId="{FA9C898D-75BD-4A77-A822-BB4289743939}" type="pres">
      <dgm:prSet presAssocID="{72FAF263-4765-4B99-8705-08628358D937}" presName="sp" presStyleCnt="0"/>
      <dgm:spPr/>
    </dgm:pt>
    <dgm:pt modelId="{C787A355-778C-4192-93BF-3C03D985AD1D}" type="pres">
      <dgm:prSet presAssocID="{27BC1D5D-7479-41A9-98E9-DB8E0A8391C5}" presName="composite" presStyleCnt="0"/>
      <dgm:spPr/>
    </dgm:pt>
    <dgm:pt modelId="{448B0A16-2D40-49A8-A2F5-A32FE1F04427}" type="pres">
      <dgm:prSet presAssocID="{27BC1D5D-7479-41A9-98E9-DB8E0A8391C5}" presName="parentText" presStyleLbl="alignNode1" presStyleIdx="2" presStyleCnt="5">
        <dgm:presLayoutVars>
          <dgm:chMax val="1"/>
          <dgm:bulletEnabled val="1"/>
        </dgm:presLayoutVars>
      </dgm:prSet>
      <dgm:spPr/>
    </dgm:pt>
    <dgm:pt modelId="{1603D01C-0882-44C8-9B8D-C2642477034F}" type="pres">
      <dgm:prSet presAssocID="{27BC1D5D-7479-41A9-98E9-DB8E0A8391C5}" presName="descendantText" presStyleLbl="alignAcc1" presStyleIdx="2" presStyleCnt="5">
        <dgm:presLayoutVars>
          <dgm:bulletEnabled val="1"/>
        </dgm:presLayoutVars>
      </dgm:prSet>
      <dgm:spPr>
        <a:prstGeom prst="round2SameRect">
          <a:avLst/>
        </a:prstGeom>
      </dgm:spPr>
    </dgm:pt>
    <dgm:pt modelId="{61CC2929-DEB9-4CD1-8AA9-F4FC9196E69F}" type="pres">
      <dgm:prSet presAssocID="{765EB80D-5F0A-4498-85C9-CEFAC4B96FF0}" presName="sp" presStyleCnt="0"/>
      <dgm:spPr/>
    </dgm:pt>
    <dgm:pt modelId="{16B7E05F-C7FF-4D9B-9C77-9E5CA7CF640F}" type="pres">
      <dgm:prSet presAssocID="{1FA77AD0-F0C8-487D-9324-C38E663CE497}" presName="composite" presStyleCnt="0"/>
      <dgm:spPr/>
    </dgm:pt>
    <dgm:pt modelId="{EC936D75-5813-42A8-A52C-F94A1B1250E5}" type="pres">
      <dgm:prSet presAssocID="{1FA77AD0-F0C8-487D-9324-C38E663CE497}" presName="parentText" presStyleLbl="alignNode1" presStyleIdx="3" presStyleCnt="5">
        <dgm:presLayoutVars>
          <dgm:chMax val="1"/>
          <dgm:bulletEnabled val="1"/>
        </dgm:presLayoutVars>
      </dgm:prSet>
      <dgm:spPr/>
    </dgm:pt>
    <dgm:pt modelId="{91393FE6-3C74-4A8B-8D28-0659EB4E43AB}" type="pres">
      <dgm:prSet presAssocID="{1FA77AD0-F0C8-487D-9324-C38E663CE497}" presName="descendantText" presStyleLbl="alignAcc1" presStyleIdx="3" presStyleCnt="5">
        <dgm:presLayoutVars>
          <dgm:bulletEnabled val="1"/>
        </dgm:presLayoutVars>
      </dgm:prSet>
      <dgm:spPr>
        <a:prstGeom prst="round2SameRect">
          <a:avLst/>
        </a:prstGeom>
      </dgm:spPr>
    </dgm:pt>
    <dgm:pt modelId="{5064D9FB-6632-4F93-9945-2C9599324A77}" type="pres">
      <dgm:prSet presAssocID="{9E21C183-8957-49BC-85AC-20C5CFE7946F}" presName="sp" presStyleCnt="0"/>
      <dgm:spPr/>
    </dgm:pt>
    <dgm:pt modelId="{AE362CDF-2007-4C6A-BC74-5312A0AE716C}" type="pres">
      <dgm:prSet presAssocID="{2F5D18C0-E41C-493B-9415-F7C906726125}" presName="composite" presStyleCnt="0"/>
      <dgm:spPr/>
    </dgm:pt>
    <dgm:pt modelId="{B98DEF3B-8FA5-4728-816B-937CC710B511}" type="pres">
      <dgm:prSet presAssocID="{2F5D18C0-E41C-493B-9415-F7C906726125}" presName="parentText" presStyleLbl="alignNode1" presStyleIdx="4" presStyleCnt="5">
        <dgm:presLayoutVars>
          <dgm:chMax val="1"/>
          <dgm:bulletEnabled val="1"/>
        </dgm:presLayoutVars>
      </dgm:prSet>
      <dgm:spPr/>
    </dgm:pt>
    <dgm:pt modelId="{F028B8CE-23A2-4071-873C-D23EA10D3936}" type="pres">
      <dgm:prSet presAssocID="{2F5D18C0-E41C-493B-9415-F7C906726125}" presName="descendantText" presStyleLbl="alignAcc1" presStyleIdx="4" presStyleCnt="5">
        <dgm:presLayoutVars>
          <dgm:bulletEnabled val="1"/>
        </dgm:presLayoutVars>
      </dgm:prSet>
      <dgm:spPr/>
    </dgm:pt>
  </dgm:ptLst>
  <dgm:cxnLst>
    <dgm:cxn modelId="{A667D205-037C-4709-96B8-80790DB35C21}" srcId="{71EF197C-7A4D-478C-9BAA-430322471A82}" destId="{677D881C-807C-4B91-8B36-3247D3D2FC7C}" srcOrd="4" destOrd="0" parTransId="{7C994C7E-4325-40AA-A7FD-C929E94BEC9D}" sibTransId="{6E363C05-6311-4515-906F-0FAE40F98C81}"/>
    <dgm:cxn modelId="{2A255611-864B-4462-80EF-4F4F8CB634E2}" srcId="{B62FE4ED-90CF-4927-84FA-688CCC16874D}" destId="{C61592AF-048F-45B2-AB5C-D777FA961CA4}" srcOrd="2" destOrd="0" parTransId="{5BDAA115-746E-4C42-A124-FC65C323C65E}" sibTransId="{B2FC57C7-A8ED-4A6C-8767-B267E7F4D17D}"/>
    <dgm:cxn modelId="{12358915-F865-4F15-83B5-9E06CD3A5614}" srcId="{9C7AB3BB-7FCE-42AE-97CB-331374D944E8}" destId="{71EF197C-7A4D-478C-9BAA-430322471A82}" srcOrd="0" destOrd="0" parTransId="{07794C0B-6351-4AB2-8D16-2757A0EFA309}" sibTransId="{6FD94561-3D9F-4A72-890D-53502EDA5CC8}"/>
    <dgm:cxn modelId="{FBDE9D15-43EF-4750-83A1-DD392A54A1D9}" srcId="{9C7AB3BB-7FCE-42AE-97CB-331374D944E8}" destId="{2F5D18C0-E41C-493B-9415-F7C906726125}" srcOrd="4" destOrd="0" parTransId="{B1F7E332-8F2E-46B8-A0ED-08147A3ED6C3}" sibTransId="{BBC5A047-E348-4F4C-BDB9-71B340BCE1CB}"/>
    <dgm:cxn modelId="{4D5A241B-52A4-4EC2-970D-C83FAE636CEF}" type="presOf" srcId="{0D71780A-6A56-474E-9082-6B4DE78382BA}" destId="{874E1DD6-CC11-4EE6-991C-293812D98DC6}" srcOrd="0" destOrd="1" presId="urn:microsoft.com/office/officeart/2005/8/layout/chevron2"/>
    <dgm:cxn modelId="{E38FD21B-C3E9-4B2D-AC2D-D78A4EEF2344}" srcId="{71EF197C-7A4D-478C-9BAA-430322471A82}" destId="{290217F0-090E-48B3-9F2A-9ED5F0334790}" srcOrd="3" destOrd="0" parTransId="{89D47341-02D9-4D6C-8A52-6AC362271233}" sibTransId="{FBA02205-00C0-4BA1-B58A-848D1C633FCD}"/>
    <dgm:cxn modelId="{FFE9DB22-0893-4AC3-98BB-0852598753FD}" srcId="{27BC1D5D-7479-41A9-98E9-DB8E0A8391C5}" destId="{0FC55981-C2FA-429A-8287-6BED57C5DDA5}" srcOrd="1" destOrd="0" parTransId="{6CAB1376-C4CC-40F5-9287-FC86469E1302}" sibTransId="{CF276BEC-F234-4681-B3CA-84CACB247328}"/>
    <dgm:cxn modelId="{DB88D829-C991-4D2D-9FF0-72D42B7759E8}" srcId="{27BC1D5D-7479-41A9-98E9-DB8E0A8391C5}" destId="{848329B2-29BF-4D9A-8B7B-3FFA2948BBF6}" srcOrd="0" destOrd="0" parTransId="{6085CE02-1DC3-4D6F-BE94-8336CB13F7E9}" sibTransId="{97D2D116-5B10-41D7-ADF9-09DEFC1BFA63}"/>
    <dgm:cxn modelId="{A76F602D-1DC7-4AD8-ACE7-0CBBDF552BC1}" type="presOf" srcId="{323A18B7-A923-45CA-A680-A10158BA7918}" destId="{E461C2E5-B3C5-4EDB-A37D-9AFC8E1212E8}" srcOrd="0" destOrd="0" presId="urn:microsoft.com/office/officeart/2005/8/layout/chevron2"/>
    <dgm:cxn modelId="{3010C02F-0C7E-4210-B751-7A7229E6B3BE}" type="presOf" srcId="{B086D837-DA05-4929-BE41-1D04F336B9D2}" destId="{874E1DD6-CC11-4EE6-991C-293812D98DC6}" srcOrd="0" destOrd="2" presId="urn:microsoft.com/office/officeart/2005/8/layout/chevron2"/>
    <dgm:cxn modelId="{E645B638-A3BE-43A6-BBDA-D3895DE3BF0B}" srcId="{B62FE4ED-90CF-4927-84FA-688CCC16874D}" destId="{323A18B7-A923-45CA-A680-A10158BA7918}" srcOrd="0" destOrd="0" parTransId="{6AD7F048-6049-4277-B89C-40BFC8588570}" sibTransId="{29DB7332-8C1B-4181-A626-09083A66D2EC}"/>
    <dgm:cxn modelId="{B102E240-847E-46F7-9E2D-A5926A8AD33B}" srcId="{1FA77AD0-F0C8-487D-9324-C38E663CE497}" destId="{4CCED834-063B-48A0-8049-7855831C79CB}" srcOrd="2" destOrd="0" parTransId="{1486AC49-7FDA-483D-9953-0107A86C65BA}" sibTransId="{37F28FFB-310A-4194-B763-75D024159920}"/>
    <dgm:cxn modelId="{309A1F5F-F9E4-42DC-A47C-923A333BA324}" type="presOf" srcId="{7D8BFFBC-EBB3-4FB3-B109-8F37C9CF48CB}" destId="{1603D01C-0882-44C8-9B8D-C2642477034F}" srcOrd="0" destOrd="2" presId="urn:microsoft.com/office/officeart/2005/8/layout/chevron2"/>
    <dgm:cxn modelId="{E31AB35F-33E9-47FA-952B-F4A271E00A31}" srcId="{71EF197C-7A4D-478C-9BAA-430322471A82}" destId="{11483752-897D-4819-8F12-85062B54467E}" srcOrd="0" destOrd="0" parTransId="{8D74AB4A-DD88-4632-8ABF-25D1E3CB38AD}" sibTransId="{D3C2D19D-21DC-4019-AF2C-D985E18D4E40}"/>
    <dgm:cxn modelId="{EEE3C748-E86A-46FB-BE39-BBFE4D4ABC48}" srcId="{1FA77AD0-F0C8-487D-9324-C38E663CE497}" destId="{F48336C4-A12D-4A1B-87F6-63AE5115C627}" srcOrd="1" destOrd="0" parTransId="{6090F963-00FF-4BED-BB72-97A75908FC01}" sibTransId="{E82C1530-132A-42AB-A456-8428A81A04E9}"/>
    <dgm:cxn modelId="{E5A2E54C-434B-4896-BFDD-4390744F1D96}" type="presOf" srcId="{4CCED834-063B-48A0-8049-7855831C79CB}" destId="{91393FE6-3C74-4A8B-8D28-0659EB4E43AB}" srcOrd="0" destOrd="2" presId="urn:microsoft.com/office/officeart/2005/8/layout/chevron2"/>
    <dgm:cxn modelId="{16D6694E-FE33-4531-AB2A-719D17B9AF4F}" type="presOf" srcId="{0FC55981-C2FA-429A-8287-6BED57C5DDA5}" destId="{1603D01C-0882-44C8-9B8D-C2642477034F}" srcOrd="0" destOrd="1" presId="urn:microsoft.com/office/officeart/2005/8/layout/chevron2"/>
    <dgm:cxn modelId="{298D766E-D330-45D7-8044-5ECA89D7B163}" type="presOf" srcId="{27BC1D5D-7479-41A9-98E9-DB8E0A8391C5}" destId="{448B0A16-2D40-49A8-A2F5-A32FE1F04427}" srcOrd="0" destOrd="0" presId="urn:microsoft.com/office/officeart/2005/8/layout/chevron2"/>
    <dgm:cxn modelId="{F661B46F-C9BA-48C1-84F5-0E928509759D}" type="presOf" srcId="{1FA77AD0-F0C8-487D-9324-C38E663CE497}" destId="{EC936D75-5813-42A8-A52C-F94A1B1250E5}" srcOrd="0" destOrd="0" presId="urn:microsoft.com/office/officeart/2005/8/layout/chevron2"/>
    <dgm:cxn modelId="{7AE41D70-C7F1-4096-9833-7DAB9E4DCB19}" srcId="{B62FE4ED-90CF-4927-84FA-688CCC16874D}" destId="{2BBAB05D-8073-4337-9D77-229D431B94B8}" srcOrd="1" destOrd="0" parTransId="{1FF5E63F-BBEC-4482-BEC3-3A33A79288D6}" sibTransId="{9FEEA10B-1474-45BA-AE5D-25A7F8CFD898}"/>
    <dgm:cxn modelId="{478D9553-D394-4300-937F-E250FCC880CD}" srcId="{1FA77AD0-F0C8-487D-9324-C38E663CE497}" destId="{3220EF7C-F9D1-4188-976A-B0E755239AF7}" srcOrd="0" destOrd="0" parTransId="{F7901375-DA63-4640-AE49-B11BBBF15677}" sibTransId="{5CA06DFF-D473-4BE0-B497-B6BDB078C7C9}"/>
    <dgm:cxn modelId="{58B8D154-C539-4BAE-9462-89CE8C0D456D}" srcId="{2F5D18C0-E41C-493B-9415-F7C906726125}" destId="{C286E65C-0C48-4247-88B3-91E142197B88}" srcOrd="0" destOrd="0" parTransId="{36A5AC6E-D274-4E40-83F3-D0DC4EAB786C}" sibTransId="{8228C7D2-628F-41BC-87D9-EA21C074599C}"/>
    <dgm:cxn modelId="{2057EE74-16BB-4F53-90FF-9C4DEB29EEF1}" type="presOf" srcId="{2BBAB05D-8073-4337-9D77-229D431B94B8}" destId="{E461C2E5-B3C5-4EDB-A37D-9AFC8E1212E8}" srcOrd="0" destOrd="1" presId="urn:microsoft.com/office/officeart/2005/8/layout/chevron2"/>
    <dgm:cxn modelId="{C704385A-CC72-47A4-B926-760DCA051717}" srcId="{27BC1D5D-7479-41A9-98E9-DB8E0A8391C5}" destId="{7D8BFFBC-EBB3-4FB3-B109-8F37C9CF48CB}" srcOrd="2" destOrd="0" parTransId="{4E282550-4A37-4813-BB51-D563644AB8B2}" sibTransId="{B6971629-DB4E-4ADF-BD6C-C90D7D454DCA}"/>
    <dgm:cxn modelId="{50516A82-3643-4060-A1B6-1098AAB59A50}" type="presOf" srcId="{677D881C-807C-4B91-8B36-3247D3D2FC7C}" destId="{874E1DD6-CC11-4EE6-991C-293812D98DC6}" srcOrd="0" destOrd="4" presId="urn:microsoft.com/office/officeart/2005/8/layout/chevron2"/>
    <dgm:cxn modelId="{B703678C-69C4-4E77-80AA-9B32789DC139}" type="presOf" srcId="{C286E65C-0C48-4247-88B3-91E142197B88}" destId="{F028B8CE-23A2-4071-873C-D23EA10D3936}" srcOrd="0" destOrd="0" presId="urn:microsoft.com/office/officeart/2005/8/layout/chevron2"/>
    <dgm:cxn modelId="{5220C58C-9F57-458A-B273-5AD52DADC9A1}" type="presOf" srcId="{848329B2-29BF-4D9A-8B7B-3FFA2948BBF6}" destId="{1603D01C-0882-44C8-9B8D-C2642477034F}" srcOrd="0" destOrd="0" presId="urn:microsoft.com/office/officeart/2005/8/layout/chevron2"/>
    <dgm:cxn modelId="{A7442790-6B89-41CE-9450-9B5985AB6675}" type="presOf" srcId="{71EF197C-7A4D-478C-9BAA-430322471A82}" destId="{161FEBF9-583D-4F6B-8F55-93BF5D5DF7A8}" srcOrd="0" destOrd="0" presId="urn:microsoft.com/office/officeart/2005/8/layout/chevron2"/>
    <dgm:cxn modelId="{4BA17C91-3AC7-455E-B679-8DDBFB2F15EF}" type="presOf" srcId="{11483752-897D-4819-8F12-85062B54467E}" destId="{874E1DD6-CC11-4EE6-991C-293812D98DC6}" srcOrd="0" destOrd="0" presId="urn:microsoft.com/office/officeart/2005/8/layout/chevron2"/>
    <dgm:cxn modelId="{D7AE2F9A-C225-407B-BE6C-D04463CB0510}" srcId="{71EF197C-7A4D-478C-9BAA-430322471A82}" destId="{0D71780A-6A56-474E-9082-6B4DE78382BA}" srcOrd="1" destOrd="0" parTransId="{CCBFAB8C-F77A-43A9-B6CA-DE9DB086AA2F}" sibTransId="{FE8CBA88-86EF-48B8-9476-A5E607148B8D}"/>
    <dgm:cxn modelId="{F30297A7-4540-4978-B562-1E92A7DFF22C}" type="presOf" srcId="{9C7AB3BB-7FCE-42AE-97CB-331374D944E8}" destId="{56559384-5E0E-4D43-A459-A776887B4BDE}" srcOrd="0" destOrd="0" presId="urn:microsoft.com/office/officeart/2005/8/layout/chevron2"/>
    <dgm:cxn modelId="{B79BFAAA-17FB-45EC-82B1-2ADB4EA91500}" type="presOf" srcId="{F48336C4-A12D-4A1B-87F6-63AE5115C627}" destId="{91393FE6-3C74-4A8B-8D28-0659EB4E43AB}" srcOrd="0" destOrd="1" presId="urn:microsoft.com/office/officeart/2005/8/layout/chevron2"/>
    <dgm:cxn modelId="{647C9AAE-1A67-4404-8ED6-D713314E1C6D}" srcId="{9C7AB3BB-7FCE-42AE-97CB-331374D944E8}" destId="{27BC1D5D-7479-41A9-98E9-DB8E0A8391C5}" srcOrd="2" destOrd="0" parTransId="{703F6A08-2E7C-4865-8B1D-5DAD2C921DD4}" sibTransId="{765EB80D-5F0A-4498-85C9-CEFAC4B96FF0}"/>
    <dgm:cxn modelId="{84EE31B7-1F1E-4B28-8F06-B76D755D7E6C}" type="presOf" srcId="{2F5D18C0-E41C-493B-9415-F7C906726125}" destId="{B98DEF3B-8FA5-4728-816B-937CC710B511}" srcOrd="0" destOrd="0" presId="urn:microsoft.com/office/officeart/2005/8/layout/chevron2"/>
    <dgm:cxn modelId="{E585E0C6-A2AA-4AE0-B359-67436A4ECC1B}" srcId="{9C7AB3BB-7FCE-42AE-97CB-331374D944E8}" destId="{B62FE4ED-90CF-4927-84FA-688CCC16874D}" srcOrd="1" destOrd="0" parTransId="{672EFF64-EC7E-49B1-A0FC-FB3491540998}" sibTransId="{72FAF263-4765-4B99-8705-08628358D937}"/>
    <dgm:cxn modelId="{70F374CD-C842-4572-8CFA-2AC0A8A21E2A}" srcId="{71EF197C-7A4D-478C-9BAA-430322471A82}" destId="{B086D837-DA05-4929-BE41-1D04F336B9D2}" srcOrd="2" destOrd="0" parTransId="{073C3499-A63C-4065-871A-47BC4885DFC0}" sibTransId="{CADDEB99-3144-4FFD-849D-A5FD18A7514F}"/>
    <dgm:cxn modelId="{AA8D6CD2-41FF-432A-B8EE-88A6CE3CC23C}" srcId="{9C7AB3BB-7FCE-42AE-97CB-331374D944E8}" destId="{1FA77AD0-F0C8-487D-9324-C38E663CE497}" srcOrd="3" destOrd="0" parTransId="{21BEE2AA-9030-4C26-8DCC-61095DDE614B}" sibTransId="{9E21C183-8957-49BC-85AC-20C5CFE7946F}"/>
    <dgm:cxn modelId="{AF5F10D4-D2C4-41F3-A556-8B95DF80D08C}" type="presOf" srcId="{B62FE4ED-90CF-4927-84FA-688CCC16874D}" destId="{28DCF793-0A13-4664-A404-D956F2F86458}" srcOrd="0" destOrd="0" presId="urn:microsoft.com/office/officeart/2005/8/layout/chevron2"/>
    <dgm:cxn modelId="{150FF1D5-2FD4-4748-9742-E544A3BA6C8E}" type="presOf" srcId="{C61592AF-048F-45B2-AB5C-D777FA961CA4}" destId="{E461C2E5-B3C5-4EDB-A37D-9AFC8E1212E8}" srcOrd="0" destOrd="2" presId="urn:microsoft.com/office/officeart/2005/8/layout/chevron2"/>
    <dgm:cxn modelId="{F20B1EEE-C82F-41DE-BCB8-810B749365B2}" type="presOf" srcId="{3220EF7C-F9D1-4188-976A-B0E755239AF7}" destId="{91393FE6-3C74-4A8B-8D28-0659EB4E43AB}" srcOrd="0" destOrd="0" presId="urn:microsoft.com/office/officeart/2005/8/layout/chevron2"/>
    <dgm:cxn modelId="{66F73CF3-7729-4419-8408-B12E50B4CBDA}" type="presOf" srcId="{290217F0-090E-48B3-9F2A-9ED5F0334790}" destId="{874E1DD6-CC11-4EE6-991C-293812D98DC6}" srcOrd="0" destOrd="3" presId="urn:microsoft.com/office/officeart/2005/8/layout/chevron2"/>
    <dgm:cxn modelId="{8BBC4702-4BA1-4CC4-9356-EFE7A2E381B9}" type="presParOf" srcId="{56559384-5E0E-4D43-A459-A776887B4BDE}" destId="{2321C3FC-875D-4470-83FE-FE751505EC3F}" srcOrd="0" destOrd="0" presId="urn:microsoft.com/office/officeart/2005/8/layout/chevron2"/>
    <dgm:cxn modelId="{DEABD0F8-B029-4724-8157-5E22FA792E93}" type="presParOf" srcId="{2321C3FC-875D-4470-83FE-FE751505EC3F}" destId="{161FEBF9-583D-4F6B-8F55-93BF5D5DF7A8}" srcOrd="0" destOrd="0" presId="urn:microsoft.com/office/officeart/2005/8/layout/chevron2"/>
    <dgm:cxn modelId="{740032C8-915A-4CFB-8939-C1CE1FD05C98}" type="presParOf" srcId="{2321C3FC-875D-4470-83FE-FE751505EC3F}" destId="{874E1DD6-CC11-4EE6-991C-293812D98DC6}" srcOrd="1" destOrd="0" presId="urn:microsoft.com/office/officeart/2005/8/layout/chevron2"/>
    <dgm:cxn modelId="{CC18FFD8-D020-402B-8BD5-0C9B86A54A74}" type="presParOf" srcId="{56559384-5E0E-4D43-A459-A776887B4BDE}" destId="{9B52B087-847A-43BB-8DB9-6B12BE55FECD}" srcOrd="1" destOrd="0" presId="urn:microsoft.com/office/officeart/2005/8/layout/chevron2"/>
    <dgm:cxn modelId="{8FFB5473-3C34-4051-A41D-54E22BD631A0}" type="presParOf" srcId="{56559384-5E0E-4D43-A459-A776887B4BDE}" destId="{2EC462E8-8659-4A84-9CC8-7EECB75D3CC4}" srcOrd="2" destOrd="0" presId="urn:microsoft.com/office/officeart/2005/8/layout/chevron2"/>
    <dgm:cxn modelId="{402623C4-F79E-434E-B0A1-D1C3CEF1C9FA}" type="presParOf" srcId="{2EC462E8-8659-4A84-9CC8-7EECB75D3CC4}" destId="{28DCF793-0A13-4664-A404-D956F2F86458}" srcOrd="0" destOrd="0" presId="urn:microsoft.com/office/officeart/2005/8/layout/chevron2"/>
    <dgm:cxn modelId="{600BA958-F5D0-4475-9379-54B96A9032B1}" type="presParOf" srcId="{2EC462E8-8659-4A84-9CC8-7EECB75D3CC4}" destId="{E461C2E5-B3C5-4EDB-A37D-9AFC8E1212E8}" srcOrd="1" destOrd="0" presId="urn:microsoft.com/office/officeart/2005/8/layout/chevron2"/>
    <dgm:cxn modelId="{F3A7FB0B-5C4E-452D-91D4-18AB8E3795C3}" type="presParOf" srcId="{56559384-5E0E-4D43-A459-A776887B4BDE}" destId="{FA9C898D-75BD-4A77-A822-BB4289743939}" srcOrd="3" destOrd="0" presId="urn:microsoft.com/office/officeart/2005/8/layout/chevron2"/>
    <dgm:cxn modelId="{7F9C4CF6-63DA-4930-9FCC-6F16C2051B0D}" type="presParOf" srcId="{56559384-5E0E-4D43-A459-A776887B4BDE}" destId="{C787A355-778C-4192-93BF-3C03D985AD1D}" srcOrd="4" destOrd="0" presId="urn:microsoft.com/office/officeart/2005/8/layout/chevron2"/>
    <dgm:cxn modelId="{50D11ED7-8589-497B-8DC0-39E8C95794A5}" type="presParOf" srcId="{C787A355-778C-4192-93BF-3C03D985AD1D}" destId="{448B0A16-2D40-49A8-A2F5-A32FE1F04427}" srcOrd="0" destOrd="0" presId="urn:microsoft.com/office/officeart/2005/8/layout/chevron2"/>
    <dgm:cxn modelId="{2327F433-7562-4B75-8614-7F9268F74201}" type="presParOf" srcId="{C787A355-778C-4192-93BF-3C03D985AD1D}" destId="{1603D01C-0882-44C8-9B8D-C2642477034F}" srcOrd="1" destOrd="0" presId="urn:microsoft.com/office/officeart/2005/8/layout/chevron2"/>
    <dgm:cxn modelId="{77183B79-AAAB-4B39-946D-5A461F6DAB1A}" type="presParOf" srcId="{56559384-5E0E-4D43-A459-A776887B4BDE}" destId="{61CC2929-DEB9-4CD1-8AA9-F4FC9196E69F}" srcOrd="5" destOrd="0" presId="urn:microsoft.com/office/officeart/2005/8/layout/chevron2"/>
    <dgm:cxn modelId="{B068AA07-2720-4F39-9026-029EFC82FC58}" type="presParOf" srcId="{56559384-5E0E-4D43-A459-A776887B4BDE}" destId="{16B7E05F-C7FF-4D9B-9C77-9E5CA7CF640F}" srcOrd="6" destOrd="0" presId="urn:microsoft.com/office/officeart/2005/8/layout/chevron2"/>
    <dgm:cxn modelId="{341A092C-3D79-4911-9D88-A6A40B9DA8BF}" type="presParOf" srcId="{16B7E05F-C7FF-4D9B-9C77-9E5CA7CF640F}" destId="{EC936D75-5813-42A8-A52C-F94A1B1250E5}" srcOrd="0" destOrd="0" presId="urn:microsoft.com/office/officeart/2005/8/layout/chevron2"/>
    <dgm:cxn modelId="{7E23A7B3-9B1E-4747-BE19-99EC507B678A}" type="presParOf" srcId="{16B7E05F-C7FF-4D9B-9C77-9E5CA7CF640F}" destId="{91393FE6-3C74-4A8B-8D28-0659EB4E43AB}" srcOrd="1" destOrd="0" presId="urn:microsoft.com/office/officeart/2005/8/layout/chevron2"/>
    <dgm:cxn modelId="{008C2458-8248-4718-9C0D-FDA3AAD80ECE}" type="presParOf" srcId="{56559384-5E0E-4D43-A459-A776887B4BDE}" destId="{5064D9FB-6632-4F93-9945-2C9599324A77}" srcOrd="7" destOrd="0" presId="urn:microsoft.com/office/officeart/2005/8/layout/chevron2"/>
    <dgm:cxn modelId="{7A891A91-E39A-462A-A78F-5ABD7D880A9C}" type="presParOf" srcId="{56559384-5E0E-4D43-A459-A776887B4BDE}" destId="{AE362CDF-2007-4C6A-BC74-5312A0AE716C}" srcOrd="8" destOrd="0" presId="urn:microsoft.com/office/officeart/2005/8/layout/chevron2"/>
    <dgm:cxn modelId="{6D665FF2-1364-4805-9969-A5DDDE0CC4E7}" type="presParOf" srcId="{AE362CDF-2007-4C6A-BC74-5312A0AE716C}" destId="{B98DEF3B-8FA5-4728-816B-937CC710B511}" srcOrd="0" destOrd="0" presId="urn:microsoft.com/office/officeart/2005/8/layout/chevron2"/>
    <dgm:cxn modelId="{7B3FF8A3-E6D8-4462-84D8-049BC64BA318}" type="presParOf" srcId="{AE362CDF-2007-4C6A-BC74-5312A0AE716C}" destId="{F028B8CE-23A2-4071-873C-D23EA10D3936}"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1FEBF9-583D-4F6B-8F55-93BF5D5DF7A8}">
      <dsp:nvSpPr>
        <dsp:cNvPr id="0" name=""/>
        <dsp:cNvSpPr/>
      </dsp:nvSpPr>
      <dsp:spPr>
        <a:xfrm rot="5400000">
          <a:off x="-241410" y="242240"/>
          <a:ext cx="1609402" cy="1126581"/>
        </a:xfrm>
        <a:prstGeom prst="chevron">
          <a:avLst/>
        </a:prstGeom>
        <a:solidFill>
          <a:srgbClr val="ED7D31">
            <a:alpha val="90000"/>
            <a:hueOff val="0"/>
            <a:satOff val="0"/>
            <a:lumOff val="0"/>
            <a:alphaOff val="0"/>
          </a:srgb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National Offer day </a:t>
          </a:r>
        </a:p>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1st allocation</a:t>
          </a:r>
        </a:p>
      </dsp:txBody>
      <dsp:txXfrm rot="-5400000">
        <a:off x="1" y="564121"/>
        <a:ext cx="1126581" cy="482821"/>
      </dsp:txXfrm>
    </dsp:sp>
    <dsp:sp modelId="{874E1DD6-CC11-4EE6-991C-293812D98DC6}">
      <dsp:nvSpPr>
        <dsp:cNvPr id="0" name=""/>
        <dsp:cNvSpPr/>
      </dsp:nvSpPr>
      <dsp:spPr>
        <a:xfrm rot="5400000">
          <a:off x="3354935" y="-2227523"/>
          <a:ext cx="1046111" cy="5502818"/>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kern="1200">
              <a:solidFill>
                <a:sysClr val="windowText" lastClr="000000">
                  <a:hueOff val="0"/>
                  <a:satOff val="0"/>
                  <a:lumOff val="0"/>
                  <a:alphaOff val="0"/>
                </a:sysClr>
              </a:solidFill>
              <a:latin typeface="Calibri" panose="020F0502020204030204"/>
              <a:ea typeface="+mn-ea"/>
              <a:cs typeface="+mn-cs"/>
            </a:rPr>
            <a:t> All offers are notified to parents and schools on national the offer days below:</a:t>
          </a:r>
          <a:endParaRPr lang="en-GB" sz="1000" b="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Secondary schools - 1st March 2023 </a:t>
          </a:r>
          <a:r>
            <a:rPr lang="en-GB" sz="1000" b="0" kern="1200">
              <a:solidFill>
                <a:sysClr val="windowText" lastClr="000000">
                  <a:hueOff val="0"/>
                  <a:satOff val="0"/>
                  <a:lumOff val="0"/>
                  <a:alphaOff val="0"/>
                </a:sysClr>
              </a:solidFill>
              <a:latin typeface="Calibri" panose="020F0502020204030204"/>
              <a:ea typeface="+mn-ea"/>
              <a:cs typeface="+mn-cs"/>
            </a:rPr>
            <a:t>(have 3 choices)</a:t>
          </a:r>
        </a:p>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Primary schools - 17th April 2023 </a:t>
          </a:r>
          <a:r>
            <a:rPr lang="en-GB" sz="1000" b="0" kern="1200">
              <a:solidFill>
                <a:sysClr val="windowText" lastClr="000000">
                  <a:hueOff val="0"/>
                  <a:satOff val="0"/>
                  <a:lumOff val="0"/>
                  <a:alphaOff val="0"/>
                </a:sysClr>
              </a:solidFill>
              <a:latin typeface="Calibri" panose="020F0502020204030204"/>
              <a:ea typeface="+mn-ea"/>
              <a:cs typeface="+mn-cs"/>
            </a:rPr>
            <a:t>(have 6 choices)</a:t>
          </a:r>
        </a:p>
        <a:p>
          <a:pPr marL="57150" lvl="1" indent="-57150" algn="l" defTabSz="444500">
            <a:lnSpc>
              <a:spcPct val="90000"/>
            </a:lnSpc>
            <a:spcBef>
              <a:spcPct val="0"/>
            </a:spcBef>
            <a:spcAft>
              <a:spcPct val="15000"/>
            </a:spcAft>
            <a:buChar char="•"/>
          </a:pPr>
          <a:r>
            <a:rPr lang="en-GB" sz="1000" kern="1200">
              <a:solidFill>
                <a:sysClr val="windowText" lastClr="000000">
                  <a:hueOff val="0"/>
                  <a:satOff val="0"/>
                  <a:lumOff val="0"/>
                  <a:alphaOff val="0"/>
                </a:sysClr>
              </a:solidFill>
              <a:latin typeface="Calibri" panose="020F0502020204030204"/>
              <a:ea typeface="+mn-ea"/>
              <a:cs typeface="+mn-cs"/>
            </a:rPr>
            <a:t>Parents have 15 days to respond to accept or decline a place</a:t>
          </a:r>
        </a:p>
        <a:p>
          <a:pPr marL="57150" lvl="1" indent="-57150" algn="l" defTabSz="444500">
            <a:lnSpc>
              <a:spcPct val="90000"/>
            </a:lnSpc>
            <a:spcBef>
              <a:spcPct val="0"/>
            </a:spcBef>
            <a:spcAft>
              <a:spcPct val="15000"/>
            </a:spcAft>
            <a:buChar char="•"/>
          </a:pPr>
          <a:r>
            <a:rPr lang="en-GB" sz="1000" kern="1200">
              <a:solidFill>
                <a:sysClr val="windowText" lastClr="000000">
                  <a:hueOff val="0"/>
                  <a:satOff val="0"/>
                  <a:lumOff val="0"/>
                  <a:alphaOff val="0"/>
                </a:sysClr>
              </a:solidFill>
              <a:latin typeface="Calibri" panose="020F0502020204030204"/>
              <a:ea typeface="+mn-ea"/>
              <a:cs typeface="+mn-cs"/>
            </a:rPr>
            <a:t>Schools and SBC to chase and ensure they hvae accpeted place and made provison for child next stage of education</a:t>
          </a:r>
        </a:p>
      </dsp:txBody>
      <dsp:txXfrm rot="-5400000">
        <a:off x="1126582" y="51897"/>
        <a:ext cx="5451751" cy="943977"/>
      </dsp:txXfrm>
    </dsp:sp>
    <dsp:sp modelId="{28DCF793-0A13-4664-A404-D956F2F86458}">
      <dsp:nvSpPr>
        <dsp:cNvPr id="0" name=""/>
        <dsp:cNvSpPr/>
      </dsp:nvSpPr>
      <dsp:spPr>
        <a:xfrm rot="5400000">
          <a:off x="-241410" y="1738124"/>
          <a:ext cx="1609402" cy="1126581"/>
        </a:xfrm>
        <a:prstGeom prst="chevron">
          <a:avLst/>
        </a:prstGeom>
        <a:solidFill>
          <a:srgbClr val="ED7D31">
            <a:alpha val="90000"/>
            <a:hueOff val="0"/>
            <a:satOff val="0"/>
            <a:lumOff val="0"/>
            <a:alphaOff val="-16000"/>
          </a:srgbClr>
        </a:solidFill>
        <a:ln w="12700" cap="flat" cmpd="sng" algn="ctr">
          <a:solidFill>
            <a:srgbClr val="ED7D31">
              <a:alpha val="90000"/>
              <a:hueOff val="0"/>
              <a:satOff val="0"/>
              <a:lumOff val="0"/>
              <a:alphaOff val="-16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2nd Round of allocations</a:t>
          </a:r>
        </a:p>
      </dsp:txBody>
      <dsp:txXfrm rot="-5400000">
        <a:off x="1" y="2060005"/>
        <a:ext cx="1126581" cy="482821"/>
      </dsp:txXfrm>
    </dsp:sp>
    <dsp:sp modelId="{E461C2E5-B3C5-4EDB-A37D-9AFC8E1212E8}">
      <dsp:nvSpPr>
        <dsp:cNvPr id="0" name=""/>
        <dsp:cNvSpPr/>
      </dsp:nvSpPr>
      <dsp:spPr>
        <a:xfrm rot="5400000">
          <a:off x="3354935" y="-748042"/>
          <a:ext cx="1046111" cy="5502818"/>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Secondary: </a:t>
          </a:r>
          <a:r>
            <a:rPr lang="en-GB" sz="1000" kern="1200">
              <a:solidFill>
                <a:sysClr val="windowText" lastClr="000000">
                  <a:hueOff val="0"/>
                  <a:satOff val="0"/>
                  <a:lumOff val="0"/>
                  <a:alphaOff val="0"/>
                </a:sysClr>
              </a:solidFill>
              <a:latin typeface="Calibri" panose="020F0502020204030204"/>
              <a:ea typeface="+mn-ea"/>
              <a:cs typeface="+mn-cs"/>
            </a:rPr>
            <a:t>SBC Admissions will issue a second list to all schools</a:t>
          </a:r>
          <a:r>
            <a:rPr lang="en-GB" sz="1000" b="1" kern="1200">
              <a:solidFill>
                <a:sysClr val="windowText" lastClr="000000">
                  <a:hueOff val="0"/>
                  <a:satOff val="0"/>
                  <a:lumOff val="0"/>
                  <a:alphaOff val="0"/>
                </a:sysClr>
              </a:solidFill>
              <a:latin typeface="Calibri" panose="020F0502020204030204"/>
              <a:ea typeface="+mn-ea"/>
              <a:cs typeface="+mn-cs"/>
            </a:rPr>
            <a:t> </a:t>
          </a:r>
          <a:r>
            <a:rPr lang="en-GB" sz="1000" b="0" kern="1200">
              <a:solidFill>
                <a:sysClr val="windowText" lastClr="000000">
                  <a:hueOff val="0"/>
                  <a:satOff val="0"/>
                  <a:lumOff val="0"/>
                  <a:alphaOff val="0"/>
                </a:sysClr>
              </a:solidFill>
              <a:latin typeface="Calibri" panose="020F0502020204030204"/>
              <a:ea typeface="+mn-ea"/>
              <a:cs typeface="+mn-cs"/>
            </a:rPr>
            <a:t>on</a:t>
          </a:r>
          <a:r>
            <a:rPr lang="en-GB" sz="1000" b="1" kern="1200">
              <a:solidFill>
                <a:sysClr val="windowText" lastClr="000000">
                  <a:hueOff val="0"/>
                  <a:satOff val="0"/>
                  <a:lumOff val="0"/>
                  <a:alphaOff val="0"/>
                </a:sysClr>
              </a:solidFill>
              <a:latin typeface="Calibri" panose="020F0502020204030204"/>
              <a:ea typeface="+mn-ea"/>
              <a:cs typeface="+mn-cs"/>
            </a:rPr>
            <a:t> 7 April 2023</a:t>
          </a:r>
        </a:p>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Primary: </a:t>
          </a:r>
          <a:r>
            <a:rPr lang="en-GB" sz="1000" b="0" kern="1200">
              <a:solidFill>
                <a:sysClr val="windowText" lastClr="000000">
                  <a:hueOff val="0"/>
                  <a:satOff val="0"/>
                  <a:lumOff val="0"/>
                  <a:alphaOff val="0"/>
                </a:sysClr>
              </a:solidFill>
              <a:latin typeface="Calibri" panose="020F0502020204030204"/>
              <a:ea typeface="+mn-ea"/>
              <a:cs typeface="+mn-cs"/>
            </a:rPr>
            <a:t>SBC Admissions will issue a second list, where applicable  on </a:t>
          </a:r>
          <a:r>
            <a:rPr lang="en-GB" sz="1000" b="1" kern="1200">
              <a:solidFill>
                <a:sysClr val="windowText" lastClr="000000">
                  <a:hueOff val="0"/>
                  <a:satOff val="0"/>
                  <a:lumOff val="0"/>
                  <a:alphaOff val="0"/>
                </a:sysClr>
              </a:solidFill>
              <a:latin typeface="Calibri" panose="020F0502020204030204"/>
              <a:ea typeface="+mn-ea"/>
              <a:cs typeface="+mn-cs"/>
            </a:rPr>
            <a:t>26 May 2023</a:t>
          </a:r>
        </a:p>
        <a:p>
          <a:pPr marL="57150" lvl="1" indent="-57150" algn="l" defTabSz="444500">
            <a:lnSpc>
              <a:spcPct val="90000"/>
            </a:lnSpc>
            <a:spcBef>
              <a:spcPct val="0"/>
            </a:spcBef>
            <a:spcAft>
              <a:spcPct val="15000"/>
            </a:spcAft>
            <a:buChar char="•"/>
          </a:pPr>
          <a:r>
            <a:rPr lang="en-GB" sz="1000" b="0" kern="1200">
              <a:solidFill>
                <a:sysClr val="windowText" lastClr="000000">
                  <a:hueOff val="0"/>
                  <a:satOff val="0"/>
                  <a:lumOff val="0"/>
                  <a:alphaOff val="0"/>
                </a:sysClr>
              </a:solidFill>
              <a:latin typeface="Calibri" panose="020F0502020204030204"/>
              <a:ea typeface="+mn-ea"/>
              <a:cs typeface="+mn-cs"/>
            </a:rPr>
            <a:t>This will be a near final list with a few descrepancies where ongoing appeals etc and shifts on waiting lists etc.  </a:t>
          </a:r>
        </a:p>
      </dsp:txBody>
      <dsp:txXfrm rot="-5400000">
        <a:off x="1126582" y="1531378"/>
        <a:ext cx="5451751" cy="943977"/>
      </dsp:txXfrm>
    </dsp:sp>
    <dsp:sp modelId="{448B0A16-2D40-49A8-A2F5-A32FE1F04427}">
      <dsp:nvSpPr>
        <dsp:cNvPr id="0" name=""/>
        <dsp:cNvSpPr/>
      </dsp:nvSpPr>
      <dsp:spPr>
        <a:xfrm rot="5400000">
          <a:off x="-241410" y="3234009"/>
          <a:ext cx="1609402" cy="1126581"/>
        </a:xfrm>
        <a:prstGeom prst="chevron">
          <a:avLst/>
        </a:prstGeom>
        <a:solidFill>
          <a:srgbClr val="ED7D31">
            <a:alpha val="90000"/>
            <a:hueOff val="0"/>
            <a:satOff val="0"/>
            <a:lumOff val="0"/>
            <a:alphaOff val="-24000"/>
          </a:srgbClr>
        </a:solidFill>
        <a:ln w="12700" cap="flat" cmpd="sng" algn="ctr">
          <a:solidFill>
            <a:srgbClr val="ED7D31">
              <a:alpha val="90000"/>
              <a:hueOff val="0"/>
              <a:satOff val="0"/>
              <a:lumOff val="0"/>
              <a:alphaOff val="-24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3rd Round of allocations</a:t>
          </a:r>
        </a:p>
      </dsp:txBody>
      <dsp:txXfrm rot="-5400000">
        <a:off x="1" y="3555890"/>
        <a:ext cx="1126581" cy="482821"/>
      </dsp:txXfrm>
    </dsp:sp>
    <dsp:sp modelId="{1603D01C-0882-44C8-9B8D-C2642477034F}">
      <dsp:nvSpPr>
        <dsp:cNvPr id="0" name=""/>
        <dsp:cNvSpPr/>
      </dsp:nvSpPr>
      <dsp:spPr>
        <a:xfrm rot="5400000">
          <a:off x="3354935" y="764245"/>
          <a:ext cx="1046111" cy="5502818"/>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Secondary: </a:t>
          </a:r>
          <a:r>
            <a:rPr lang="en-GB" sz="1000" b="0" kern="1200">
              <a:solidFill>
                <a:sysClr val="windowText" lastClr="000000">
                  <a:hueOff val="0"/>
                  <a:satOff val="0"/>
                  <a:lumOff val="0"/>
                  <a:alphaOff val="0"/>
                </a:sysClr>
              </a:solidFill>
              <a:latin typeface="Calibri" panose="020F0502020204030204"/>
              <a:ea typeface="+mn-ea"/>
              <a:cs typeface="+mn-cs"/>
            </a:rPr>
            <a:t>SBC Admissions will issue a third list to all secondary schools in </a:t>
          </a:r>
          <a:r>
            <a:rPr lang="en-GB" sz="1000" b="1" kern="1200">
              <a:solidFill>
                <a:sysClr val="windowText" lastClr="000000">
                  <a:hueOff val="0"/>
                  <a:satOff val="0"/>
                  <a:lumOff val="0"/>
                  <a:alphaOff val="0"/>
                </a:sysClr>
              </a:solidFill>
              <a:latin typeface="Calibri" panose="020F0502020204030204"/>
              <a:ea typeface="+mn-ea"/>
              <a:cs typeface="+mn-cs"/>
            </a:rPr>
            <a:t>w/c 8 May 2023</a:t>
          </a:r>
        </a:p>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Primary: </a:t>
          </a:r>
          <a:r>
            <a:rPr lang="en-GB" sz="1000" b="0" kern="1200">
              <a:solidFill>
                <a:sysClr val="windowText" lastClr="000000">
                  <a:hueOff val="0"/>
                  <a:satOff val="0"/>
                  <a:lumOff val="0"/>
                  <a:alphaOff val="0"/>
                </a:sysClr>
              </a:solidFill>
              <a:latin typeface="Calibri" panose="020F0502020204030204"/>
              <a:ea typeface="+mn-ea"/>
              <a:cs typeface="+mn-cs"/>
            </a:rPr>
            <a:t>SBC Admissions will issue a third list to primary schools in </a:t>
          </a:r>
          <a:r>
            <a:rPr lang="en-GB" sz="1000" b="1" kern="1200">
              <a:solidFill>
                <a:sysClr val="windowText" lastClr="000000">
                  <a:hueOff val="0"/>
                  <a:satOff val="0"/>
                  <a:lumOff val="0"/>
                  <a:alphaOff val="0"/>
                </a:sysClr>
              </a:solidFill>
              <a:latin typeface="Calibri" panose="020F0502020204030204"/>
              <a:ea typeface="+mn-ea"/>
              <a:cs typeface="+mn-cs"/>
            </a:rPr>
            <a:t>w/c 19 June 2023</a:t>
          </a:r>
        </a:p>
        <a:p>
          <a:pPr marL="57150" lvl="1" indent="-57150" algn="l" defTabSz="444500">
            <a:lnSpc>
              <a:spcPct val="90000"/>
            </a:lnSpc>
            <a:spcBef>
              <a:spcPct val="0"/>
            </a:spcBef>
            <a:spcAft>
              <a:spcPct val="15000"/>
            </a:spcAft>
            <a:buNone/>
          </a:pPr>
          <a:r>
            <a:rPr lang="en-GB" sz="1000" kern="1200"/>
            <a:t> After the 3</a:t>
          </a:r>
          <a:r>
            <a:rPr lang="en-GB" sz="1000" kern="1200" baseline="30000"/>
            <a:t>rd</a:t>
          </a:r>
          <a:r>
            <a:rPr lang="en-GB" sz="1000" kern="1200"/>
            <a:t> round, applications are considered, and places offered on an individual basis in the order of the date the application was received – subject to availability of places</a:t>
          </a:r>
          <a:endParaRPr lang="en-GB" sz="1000" b="1" kern="1200">
            <a:solidFill>
              <a:sysClr val="windowText" lastClr="000000">
                <a:hueOff val="0"/>
                <a:satOff val="0"/>
                <a:lumOff val="0"/>
                <a:alphaOff val="0"/>
              </a:sysClr>
            </a:solidFill>
            <a:latin typeface="Calibri" panose="020F0502020204030204"/>
            <a:ea typeface="+mn-ea"/>
            <a:cs typeface="+mn-cs"/>
          </a:endParaRPr>
        </a:p>
      </dsp:txBody>
      <dsp:txXfrm rot="-5400000">
        <a:off x="1126582" y="3043666"/>
        <a:ext cx="5451751" cy="943977"/>
      </dsp:txXfrm>
    </dsp:sp>
    <dsp:sp modelId="{EC936D75-5813-42A8-A52C-F94A1B1250E5}">
      <dsp:nvSpPr>
        <dsp:cNvPr id="0" name=""/>
        <dsp:cNvSpPr/>
      </dsp:nvSpPr>
      <dsp:spPr>
        <a:xfrm rot="5400000">
          <a:off x="-241410" y="4729893"/>
          <a:ext cx="1609402" cy="1126581"/>
        </a:xfrm>
        <a:prstGeom prst="chevron">
          <a:avLst/>
        </a:prstGeom>
        <a:solidFill>
          <a:srgbClr val="ED7D31">
            <a:alpha val="90000"/>
            <a:hueOff val="0"/>
            <a:satOff val="0"/>
            <a:lumOff val="0"/>
            <a:alphaOff val="-32000"/>
          </a:srgbClr>
        </a:solidFill>
        <a:ln w="12700" cap="flat" cmpd="sng" algn="ctr">
          <a:solidFill>
            <a:srgbClr val="ED7D31">
              <a:alpha val="90000"/>
              <a:hueOff val="0"/>
              <a:satOff val="0"/>
              <a:lumOff val="0"/>
              <a:alphaOff val="-32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Transfer day/ </a:t>
          </a:r>
        </a:p>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CTF file transfer</a:t>
          </a:r>
        </a:p>
      </dsp:txBody>
      <dsp:txXfrm rot="-5400000">
        <a:off x="1" y="5051774"/>
        <a:ext cx="1126581" cy="482821"/>
      </dsp:txXfrm>
    </dsp:sp>
    <dsp:sp modelId="{91393FE6-3C74-4A8B-8D28-0659EB4E43AB}">
      <dsp:nvSpPr>
        <dsp:cNvPr id="0" name=""/>
        <dsp:cNvSpPr/>
      </dsp:nvSpPr>
      <dsp:spPr>
        <a:xfrm rot="5400000">
          <a:off x="3354935" y="2260129"/>
          <a:ext cx="1046111" cy="5502818"/>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kern="1200">
              <a:solidFill>
                <a:sysClr val="windowText" lastClr="000000">
                  <a:hueOff val="0"/>
                  <a:satOff val="0"/>
                  <a:lumOff val="0"/>
                  <a:alphaOff val="0"/>
                </a:sysClr>
              </a:solidFill>
              <a:latin typeface="Calibri" panose="020F0502020204030204"/>
              <a:ea typeface="+mn-ea"/>
              <a:cs typeface="+mn-cs"/>
            </a:rPr>
            <a:t> </a:t>
          </a:r>
          <a:r>
            <a:rPr lang="en-GB" sz="1000" b="1" kern="1200">
              <a:solidFill>
                <a:sysClr val="windowText" lastClr="000000">
                  <a:hueOff val="0"/>
                  <a:satOff val="0"/>
                  <a:lumOff val="0"/>
                  <a:alphaOff val="0"/>
                </a:sysClr>
              </a:solidFill>
              <a:latin typeface="Calibri" panose="020F0502020204030204"/>
              <a:ea typeface="+mn-ea"/>
              <a:cs typeface="+mn-cs"/>
            </a:rPr>
            <a:t>4 July 2023 </a:t>
          </a:r>
          <a:r>
            <a:rPr lang="en-GB" sz="1000" b="0" kern="1200">
              <a:solidFill>
                <a:sysClr val="windowText" lastClr="000000">
                  <a:hueOff val="0"/>
                  <a:satOff val="0"/>
                  <a:lumOff val="0"/>
                  <a:alphaOff val="0"/>
                </a:sysClr>
              </a:solidFill>
              <a:latin typeface="Calibri" panose="020F0502020204030204"/>
              <a:ea typeface="+mn-ea"/>
              <a:cs typeface="+mn-cs"/>
            </a:rPr>
            <a:t>- The transfer day can be used for feeder schools to share and discuss cases with onward destination schools and/or a taster (open) day for children to visit schools.</a:t>
          </a:r>
          <a:endParaRPr lang="en-GB" sz="10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GB" sz="1000" b="0" kern="1200">
              <a:solidFill>
                <a:sysClr val="windowText" lastClr="000000">
                  <a:hueOff val="0"/>
                  <a:satOff val="0"/>
                  <a:lumOff val="0"/>
                  <a:alphaOff val="0"/>
                </a:sysClr>
              </a:solidFill>
              <a:latin typeface="Calibri" panose="020F0502020204030204"/>
              <a:ea typeface="+mn-ea"/>
              <a:cs typeface="+mn-cs"/>
            </a:rPr>
            <a:t>Verbally confirming any needs of children with DT, DSL, SENCO. </a:t>
          </a:r>
        </a:p>
        <a:p>
          <a:pPr marL="57150" lvl="1" indent="-57150" algn="l" defTabSz="444500">
            <a:lnSpc>
              <a:spcPct val="90000"/>
            </a:lnSpc>
            <a:spcBef>
              <a:spcPct val="0"/>
            </a:spcBef>
            <a:spcAft>
              <a:spcPct val="15000"/>
            </a:spcAft>
            <a:buChar char="•"/>
          </a:pPr>
          <a:r>
            <a:rPr lang="en-GB" sz="1000" b="1" kern="1200">
              <a:solidFill>
                <a:sysClr val="windowText" lastClr="000000">
                  <a:hueOff val="0"/>
                  <a:satOff val="0"/>
                  <a:lumOff val="0"/>
                  <a:alphaOff val="0"/>
                </a:sysClr>
              </a:solidFill>
              <a:latin typeface="Calibri" panose="020F0502020204030204"/>
              <a:ea typeface="+mn-ea"/>
              <a:cs typeface="+mn-cs"/>
            </a:rPr>
            <a:t>1st date of the autumn term (September 2023)  to transfer the Common Transfer File (CTF) via the School 2 School (S2S) system </a:t>
          </a:r>
          <a:r>
            <a:rPr lang="en-GB" sz="1000" kern="1200">
              <a:solidFill>
                <a:sysClr val="windowText" lastClr="000000">
                  <a:hueOff val="0"/>
                  <a:satOff val="0"/>
                  <a:lumOff val="0"/>
                  <a:alphaOff val="0"/>
                </a:sysClr>
              </a:solidFill>
              <a:latin typeface="Calibri" panose="020F0502020204030204"/>
              <a:ea typeface="+mn-ea"/>
              <a:cs typeface="+mn-cs"/>
            </a:rPr>
            <a:t>to onward destination. Conversations between schools can take place prior to the official transfer of CTF.</a:t>
          </a:r>
        </a:p>
      </dsp:txBody>
      <dsp:txXfrm rot="-5400000">
        <a:off x="1126582" y="4539550"/>
        <a:ext cx="5451751" cy="943977"/>
      </dsp:txXfrm>
    </dsp:sp>
    <dsp:sp modelId="{B98DEF3B-8FA5-4728-816B-937CC710B511}">
      <dsp:nvSpPr>
        <dsp:cNvPr id="0" name=""/>
        <dsp:cNvSpPr/>
      </dsp:nvSpPr>
      <dsp:spPr>
        <a:xfrm rot="5400000">
          <a:off x="-241410" y="6225777"/>
          <a:ext cx="1609402" cy="1126581"/>
        </a:xfrm>
        <a:prstGeom prst="chevron">
          <a:avLst/>
        </a:prstGeom>
        <a:solidFill>
          <a:srgbClr val="ED7D31">
            <a:alpha val="90000"/>
            <a:hueOff val="0"/>
            <a:satOff val="0"/>
            <a:lumOff val="0"/>
            <a:alphaOff val="-40000"/>
          </a:srgb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CP file transfer </a:t>
          </a:r>
        </a:p>
      </dsp:txBody>
      <dsp:txXfrm rot="-5400000">
        <a:off x="1" y="6547658"/>
        <a:ext cx="1126581" cy="482821"/>
      </dsp:txXfrm>
    </dsp:sp>
    <dsp:sp modelId="{F028B8CE-23A2-4071-873C-D23EA10D3936}">
      <dsp:nvSpPr>
        <dsp:cNvPr id="0" name=""/>
        <dsp:cNvSpPr/>
      </dsp:nvSpPr>
      <dsp:spPr>
        <a:xfrm rot="5400000">
          <a:off x="3354935" y="3756014"/>
          <a:ext cx="1046111" cy="5502818"/>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kern="1200">
              <a:solidFill>
                <a:sysClr val="windowText" lastClr="000000">
                  <a:hueOff val="0"/>
                  <a:satOff val="0"/>
                  <a:lumOff val="0"/>
                  <a:alphaOff val="0"/>
                </a:sysClr>
              </a:solidFill>
              <a:latin typeface="Calibri" panose="020F0502020204030204"/>
              <a:ea typeface="+mn-ea"/>
              <a:cs typeface="+mn-cs"/>
            </a:rPr>
            <a:t>Child Protection and Safeguarding must be shared </a:t>
          </a:r>
          <a:r>
            <a:rPr lang="en-GB" sz="1000" b="1" kern="1200">
              <a:solidFill>
                <a:sysClr val="windowText" lastClr="000000">
                  <a:hueOff val="0"/>
                  <a:satOff val="0"/>
                  <a:lumOff val="0"/>
                  <a:alphaOff val="0"/>
                </a:sysClr>
              </a:solidFill>
              <a:latin typeface="Calibri" panose="020F0502020204030204"/>
              <a:ea typeface="+mn-ea"/>
              <a:cs typeface="+mn-cs"/>
            </a:rPr>
            <a:t>within 5 working days </a:t>
          </a:r>
          <a:r>
            <a:rPr lang="en-GB" sz="1000" kern="1200">
              <a:solidFill>
                <a:sysClr val="windowText" lastClr="000000">
                  <a:hueOff val="0"/>
                  <a:satOff val="0"/>
                  <a:lumOff val="0"/>
                  <a:alphaOff val="0"/>
                </a:sysClr>
              </a:solidFill>
              <a:latin typeface="Calibri" panose="020F0502020204030204"/>
              <a:ea typeface="+mn-ea"/>
              <a:cs typeface="+mn-cs"/>
            </a:rPr>
            <a:t>from date child/youg person has started at new destination (September 2023) securely either online and/or phyiscally for paper files and receipt obtained.</a:t>
          </a:r>
        </a:p>
      </dsp:txBody>
      <dsp:txXfrm rot="-5400000">
        <a:off x="1126582" y="6035435"/>
        <a:ext cx="5451751" cy="94397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2</Pages>
  <Words>515</Words>
  <Characters>2936</Characters>
  <Application>Microsoft Office Word</Application>
  <DocSecurity>0</DocSecurity>
  <Lines>24</Lines>
  <Paragraphs>6</Paragraphs>
  <ScaleCrop>false</ScaleCrop>
  <Company/>
  <LinksUpToDate>false</LinksUpToDate>
  <CharactersWithSpaces>3445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Jatinder Matharu</dc:creator>
  <cp:keywords/>
  <dc:description/>
  <cp:lastModifiedBy>Jatinder Matharu</cp:lastModifiedBy>
  <cp:revision>15</cp:revision>
  <dcterms:created xsi:type="dcterms:W3CDTF">2023-05-24T20:07:00Z</dcterms:created>
  <dcterms:modified xsi:type="dcterms:W3CDTF">2023-05-25T16:13:00Z</dcterms:modified>
</cp:coreProperties>
</file>