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00AA" w14:textId="11F44776" w:rsidR="00A25E19" w:rsidRDefault="00A25E19" w:rsidP="00BD2364">
      <w:pPr>
        <w:jc w:val="center"/>
        <w:rPr>
          <w:rFonts w:ascii="Arial" w:hAnsi="Arial" w:cs="Arial"/>
          <w:b/>
          <w:bCs/>
          <w:sz w:val="28"/>
          <w:szCs w:val="28"/>
        </w:rPr>
      </w:pPr>
      <w:r w:rsidRPr="00BE21F2">
        <w:rPr>
          <w:rFonts w:ascii="Arial" w:eastAsia="Calibri" w:hAnsi="Arial" w:cs="Arial"/>
          <w:noProof/>
          <w:sz w:val="24"/>
          <w:szCs w:val="24"/>
          <w:lang w:eastAsia="en-GB"/>
        </w:rPr>
        <w:drawing>
          <wp:anchor distT="0" distB="0" distL="114300" distR="114300" simplePos="0" relativeHeight="251659264" behindDoc="0" locked="0" layoutInCell="1" allowOverlap="1" wp14:anchorId="636643D2" wp14:editId="6544B3D7">
            <wp:simplePos x="0" y="0"/>
            <wp:positionH relativeFrom="column">
              <wp:posOffset>0</wp:posOffset>
            </wp:positionH>
            <wp:positionV relativeFrom="paragraph">
              <wp:posOffset>321310</wp:posOffset>
            </wp:positionV>
            <wp:extent cx="2291080" cy="6667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9108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42325" w14:textId="77777777" w:rsidR="00A25E19" w:rsidRDefault="00A25E19" w:rsidP="00BD2364">
      <w:pPr>
        <w:jc w:val="center"/>
        <w:rPr>
          <w:rFonts w:ascii="Arial" w:hAnsi="Arial" w:cs="Arial"/>
          <w:b/>
          <w:bCs/>
          <w:sz w:val="28"/>
          <w:szCs w:val="28"/>
        </w:rPr>
      </w:pPr>
    </w:p>
    <w:p w14:paraId="55230C2C" w14:textId="77777777" w:rsidR="00A25E19" w:rsidRDefault="00A25E19" w:rsidP="00BD2364">
      <w:pPr>
        <w:jc w:val="center"/>
        <w:rPr>
          <w:rFonts w:ascii="Arial" w:hAnsi="Arial" w:cs="Arial"/>
          <w:b/>
          <w:bCs/>
          <w:sz w:val="28"/>
          <w:szCs w:val="28"/>
        </w:rPr>
      </w:pPr>
    </w:p>
    <w:p w14:paraId="5C933A07" w14:textId="77777777" w:rsidR="00A25E19" w:rsidRPr="00BD643B" w:rsidRDefault="00A25E19" w:rsidP="00BD2364">
      <w:pPr>
        <w:jc w:val="center"/>
        <w:rPr>
          <w:rFonts w:ascii="Arial" w:hAnsi="Arial" w:cs="Arial"/>
          <w:b/>
          <w:bCs/>
          <w:sz w:val="32"/>
          <w:szCs w:val="32"/>
        </w:rPr>
      </w:pPr>
    </w:p>
    <w:p w14:paraId="56262C07" w14:textId="7C5E86C6" w:rsidR="00BD2364" w:rsidRPr="00BD643B" w:rsidRDefault="00BD2364" w:rsidP="00BD2364">
      <w:pPr>
        <w:jc w:val="center"/>
        <w:rPr>
          <w:rFonts w:ascii="Arial" w:hAnsi="Arial" w:cs="Arial"/>
          <w:b/>
          <w:bCs/>
          <w:sz w:val="32"/>
          <w:szCs w:val="32"/>
        </w:rPr>
      </w:pPr>
      <w:r w:rsidRPr="00BD643B">
        <w:rPr>
          <w:rFonts w:ascii="Arial" w:hAnsi="Arial" w:cs="Arial"/>
          <w:b/>
          <w:bCs/>
          <w:sz w:val="32"/>
          <w:szCs w:val="32"/>
        </w:rPr>
        <w:t xml:space="preserve">Practice </w:t>
      </w:r>
      <w:r w:rsidR="00A25E19" w:rsidRPr="00BD643B">
        <w:rPr>
          <w:rFonts w:ascii="Arial" w:hAnsi="Arial" w:cs="Arial"/>
          <w:b/>
          <w:bCs/>
          <w:sz w:val="32"/>
          <w:szCs w:val="32"/>
        </w:rPr>
        <w:t>N</w:t>
      </w:r>
      <w:r w:rsidRPr="00BD643B">
        <w:rPr>
          <w:rFonts w:ascii="Arial" w:hAnsi="Arial" w:cs="Arial"/>
          <w:b/>
          <w:bCs/>
          <w:sz w:val="32"/>
          <w:szCs w:val="32"/>
        </w:rPr>
        <w:t>ote</w:t>
      </w:r>
      <w:r w:rsidR="006F199E" w:rsidRPr="00BD643B">
        <w:rPr>
          <w:rFonts w:ascii="Arial" w:hAnsi="Arial" w:cs="Arial"/>
          <w:b/>
          <w:bCs/>
          <w:sz w:val="32"/>
          <w:szCs w:val="32"/>
        </w:rPr>
        <w:t xml:space="preserve">: </w:t>
      </w:r>
      <w:r w:rsidRPr="00BD643B">
        <w:rPr>
          <w:rFonts w:ascii="Arial" w:hAnsi="Arial" w:cs="Arial"/>
          <w:b/>
          <w:bCs/>
          <w:sz w:val="32"/>
          <w:szCs w:val="32"/>
        </w:rPr>
        <w:t>Learning from audit</w:t>
      </w:r>
    </w:p>
    <w:p w14:paraId="1173E8C1" w14:textId="7C3A86BD" w:rsidR="00BD2364" w:rsidRPr="00BD2364" w:rsidRDefault="00BD2364" w:rsidP="00BD2364">
      <w:pPr>
        <w:rPr>
          <w:rFonts w:ascii="Arial" w:hAnsi="Arial" w:cs="Arial"/>
        </w:rPr>
      </w:pPr>
      <w:r w:rsidRPr="00BD2364">
        <w:rPr>
          <w:rFonts w:ascii="Arial" w:hAnsi="Arial" w:cs="Arial"/>
        </w:rPr>
        <w:t>Slough safeguarding partnership carried out a multi-agency a</w:t>
      </w:r>
      <w:r w:rsidR="00851E64">
        <w:rPr>
          <w:rFonts w:ascii="Arial" w:hAnsi="Arial" w:cs="Arial"/>
        </w:rPr>
        <w:t>udit</w:t>
      </w:r>
      <w:r w:rsidRPr="00BD2364">
        <w:rPr>
          <w:rFonts w:ascii="Arial" w:hAnsi="Arial" w:cs="Arial"/>
        </w:rPr>
        <w:t xml:space="preserve"> of young babies. A comprehensive report is </w:t>
      </w:r>
      <w:r w:rsidR="00A25E19">
        <w:rPr>
          <w:rFonts w:ascii="Arial" w:hAnsi="Arial" w:cs="Arial"/>
        </w:rPr>
        <w:t>available</w:t>
      </w:r>
      <w:r w:rsidRPr="00BD2364">
        <w:rPr>
          <w:rFonts w:ascii="Arial" w:hAnsi="Arial" w:cs="Arial"/>
        </w:rPr>
        <w:t xml:space="preserve"> </w:t>
      </w:r>
      <w:r w:rsidR="00A25E19">
        <w:rPr>
          <w:rFonts w:ascii="Arial" w:hAnsi="Arial" w:cs="Arial"/>
        </w:rPr>
        <w:t>in addition to this</w:t>
      </w:r>
      <w:r w:rsidRPr="00BD2364">
        <w:rPr>
          <w:rFonts w:ascii="Arial" w:hAnsi="Arial" w:cs="Arial"/>
        </w:rPr>
        <w:t xml:space="preserve"> </w:t>
      </w:r>
      <w:r w:rsidR="00A25E19">
        <w:rPr>
          <w:rFonts w:ascii="Arial" w:hAnsi="Arial" w:cs="Arial"/>
        </w:rPr>
        <w:t>Practice N</w:t>
      </w:r>
      <w:r w:rsidRPr="00BD2364">
        <w:rPr>
          <w:rFonts w:ascii="Arial" w:hAnsi="Arial" w:cs="Arial"/>
        </w:rPr>
        <w:t>ote.</w:t>
      </w:r>
    </w:p>
    <w:tbl>
      <w:tblPr>
        <w:tblStyle w:val="TableGrid"/>
        <w:tblW w:w="0" w:type="auto"/>
        <w:tblInd w:w="-5" w:type="dxa"/>
        <w:tblLook w:val="04A0" w:firstRow="1" w:lastRow="0" w:firstColumn="1" w:lastColumn="0" w:noHBand="0" w:noVBand="1"/>
      </w:tblPr>
      <w:tblGrid>
        <w:gridCol w:w="3833"/>
        <w:gridCol w:w="10059"/>
      </w:tblGrid>
      <w:tr w:rsidR="00BD2364" w:rsidRPr="00BD2364" w14:paraId="7D69D8BF" w14:textId="77777777" w:rsidTr="00A25E19">
        <w:tc>
          <w:tcPr>
            <w:tcW w:w="3833" w:type="dxa"/>
            <w:shd w:val="clear" w:color="auto" w:fill="FBE4D5" w:themeFill="accent2" w:themeFillTint="33"/>
          </w:tcPr>
          <w:p w14:paraId="26B4F048" w14:textId="77777777" w:rsidR="00BD2364" w:rsidRPr="006F199E" w:rsidRDefault="00BD2364" w:rsidP="006F199E">
            <w:pPr>
              <w:jc w:val="center"/>
              <w:rPr>
                <w:rFonts w:ascii="Arial" w:hAnsi="Arial" w:cs="Arial"/>
                <w:b/>
              </w:rPr>
            </w:pPr>
            <w:r w:rsidRPr="006F199E">
              <w:rPr>
                <w:rFonts w:ascii="Arial" w:hAnsi="Arial" w:cs="Arial"/>
                <w:b/>
              </w:rPr>
              <w:t>What we learned</w:t>
            </w:r>
          </w:p>
        </w:tc>
        <w:tc>
          <w:tcPr>
            <w:tcW w:w="10059" w:type="dxa"/>
            <w:shd w:val="clear" w:color="auto" w:fill="FBE4D5" w:themeFill="accent2" w:themeFillTint="33"/>
          </w:tcPr>
          <w:p w14:paraId="0672CE88" w14:textId="77777777" w:rsidR="00BD2364" w:rsidRPr="006F199E" w:rsidRDefault="00BD2364" w:rsidP="006F199E">
            <w:pPr>
              <w:jc w:val="center"/>
              <w:rPr>
                <w:rFonts w:ascii="Arial" w:hAnsi="Arial" w:cs="Arial"/>
                <w:b/>
              </w:rPr>
            </w:pPr>
            <w:r w:rsidRPr="006F199E">
              <w:rPr>
                <w:rFonts w:ascii="Arial" w:hAnsi="Arial" w:cs="Arial"/>
                <w:b/>
              </w:rPr>
              <w:t>Points for practice</w:t>
            </w:r>
          </w:p>
        </w:tc>
      </w:tr>
      <w:tr w:rsidR="00BD2364" w14:paraId="5A8267E8" w14:textId="77777777" w:rsidTr="00A25E19">
        <w:tc>
          <w:tcPr>
            <w:tcW w:w="3833" w:type="dxa"/>
          </w:tcPr>
          <w:p w14:paraId="60AD1112" w14:textId="77777777" w:rsidR="00BD2364" w:rsidRPr="00BD2364" w:rsidRDefault="00BD2364" w:rsidP="00BD2364">
            <w:pPr>
              <w:rPr>
                <w:rFonts w:ascii="Arial" w:hAnsi="Arial" w:cs="Arial"/>
                <w:b/>
                <w:i/>
              </w:rPr>
            </w:pPr>
            <w:r w:rsidRPr="00BD2364">
              <w:rPr>
                <w:rFonts w:ascii="Arial" w:hAnsi="Arial" w:cs="Arial"/>
                <w:b/>
                <w:i/>
              </w:rPr>
              <w:t>About core groups;</w:t>
            </w:r>
          </w:p>
          <w:p w14:paraId="6A74B8C7" w14:textId="77777777" w:rsidR="00BD2364" w:rsidRPr="00BD2364" w:rsidRDefault="00BD2364" w:rsidP="00BD2364">
            <w:pPr>
              <w:rPr>
                <w:rFonts w:ascii="Arial" w:hAnsi="Arial" w:cs="Arial"/>
                <w:b/>
                <w:i/>
              </w:rPr>
            </w:pPr>
            <w:r>
              <w:rPr>
                <w:rFonts w:ascii="Arial" w:hAnsi="Arial" w:cs="Arial"/>
              </w:rPr>
              <w:t>There was</w:t>
            </w:r>
            <w:r w:rsidRPr="00BD2364">
              <w:rPr>
                <w:rFonts w:ascii="Arial" w:hAnsi="Arial" w:cs="Arial"/>
              </w:rPr>
              <w:t xml:space="preserve"> d</w:t>
            </w:r>
            <w:r w:rsidR="007A23DB">
              <w:rPr>
                <w:rFonts w:ascii="Arial" w:hAnsi="Arial" w:cs="Arial"/>
              </w:rPr>
              <w:t xml:space="preserve">rift between core group meeting and </w:t>
            </w:r>
            <w:r w:rsidRPr="00BD2364">
              <w:rPr>
                <w:rFonts w:ascii="Arial" w:hAnsi="Arial" w:cs="Arial"/>
              </w:rPr>
              <w:t>no-one stepped forward to challenge</w:t>
            </w:r>
            <w:r w:rsidR="007A23DB">
              <w:rPr>
                <w:rFonts w:ascii="Arial" w:hAnsi="Arial" w:cs="Arial"/>
              </w:rPr>
              <w:t>.</w:t>
            </w:r>
          </w:p>
        </w:tc>
        <w:tc>
          <w:tcPr>
            <w:tcW w:w="10059" w:type="dxa"/>
          </w:tcPr>
          <w:p w14:paraId="28C0BF16" w14:textId="77777777" w:rsidR="001F69E0" w:rsidRDefault="00BD2364" w:rsidP="007A23DB">
            <w:pPr>
              <w:rPr>
                <w:rFonts w:ascii="Arial" w:hAnsi="Arial" w:cs="Arial"/>
              </w:rPr>
            </w:pPr>
            <w:r w:rsidRPr="00BD2364">
              <w:rPr>
                <w:rFonts w:ascii="Arial" w:hAnsi="Arial" w:cs="Arial"/>
              </w:rPr>
              <w:t>There are many staff changes in all partner agencies and</w:t>
            </w:r>
            <w:r w:rsidR="007A23DB">
              <w:rPr>
                <w:rFonts w:ascii="Arial" w:hAnsi="Arial" w:cs="Arial"/>
              </w:rPr>
              <w:t xml:space="preserve"> so a risk of drift and delay.</w:t>
            </w:r>
            <w:r w:rsidR="006F199E">
              <w:rPr>
                <w:rFonts w:ascii="Arial" w:hAnsi="Arial" w:cs="Arial"/>
              </w:rPr>
              <w:t xml:space="preserve"> </w:t>
            </w:r>
          </w:p>
          <w:p w14:paraId="1EFBB1EE" w14:textId="77777777" w:rsidR="001F69E0" w:rsidRDefault="001F69E0" w:rsidP="007A23DB">
            <w:pPr>
              <w:rPr>
                <w:rFonts w:ascii="Arial" w:hAnsi="Arial" w:cs="Arial"/>
              </w:rPr>
            </w:pPr>
          </w:p>
          <w:p w14:paraId="1062FAE9" w14:textId="056F6ED6" w:rsidR="001F69E0" w:rsidRDefault="001F69E0" w:rsidP="007A23DB">
            <w:pPr>
              <w:rPr>
                <w:rFonts w:ascii="Arial" w:hAnsi="Arial" w:cs="Arial"/>
              </w:rPr>
            </w:pPr>
            <w:r>
              <w:rPr>
                <w:rFonts w:ascii="Arial" w:hAnsi="Arial" w:cs="Arial"/>
              </w:rPr>
              <w:t>W</w:t>
            </w:r>
            <w:r w:rsidR="00BD2364" w:rsidRPr="00BD2364">
              <w:rPr>
                <w:rFonts w:ascii="Arial" w:hAnsi="Arial" w:cs="Arial"/>
              </w:rPr>
              <w:t xml:space="preserve">hen </w:t>
            </w:r>
            <w:r>
              <w:rPr>
                <w:rFonts w:ascii="Arial" w:hAnsi="Arial" w:cs="Arial"/>
              </w:rPr>
              <w:t>practitioners</w:t>
            </w:r>
            <w:r w:rsidR="00BD2364" w:rsidRPr="00BD2364">
              <w:rPr>
                <w:rFonts w:ascii="Arial" w:hAnsi="Arial" w:cs="Arial"/>
              </w:rPr>
              <w:t xml:space="preserve"> attend the first core group meeting, </w:t>
            </w:r>
            <w:r>
              <w:rPr>
                <w:rFonts w:ascii="Arial" w:hAnsi="Arial" w:cs="Arial"/>
              </w:rPr>
              <w:t xml:space="preserve">it is essential they </w:t>
            </w:r>
            <w:r w:rsidR="00BD2364" w:rsidRPr="00BD2364">
              <w:rPr>
                <w:rFonts w:ascii="Arial" w:hAnsi="Arial" w:cs="Arial"/>
              </w:rPr>
              <w:t xml:space="preserve">make a note </w:t>
            </w:r>
            <w:r>
              <w:rPr>
                <w:rFonts w:ascii="Arial" w:hAnsi="Arial" w:cs="Arial"/>
              </w:rPr>
              <w:t xml:space="preserve">of the date of the next meeting, and not rely on a prompt from SCF.  </w:t>
            </w:r>
          </w:p>
          <w:p w14:paraId="6F5B25AB" w14:textId="77777777" w:rsidR="001F69E0" w:rsidRDefault="001F69E0" w:rsidP="001F69E0">
            <w:pPr>
              <w:pStyle w:val="ListParagraph"/>
              <w:numPr>
                <w:ilvl w:val="0"/>
                <w:numId w:val="1"/>
              </w:numPr>
              <w:rPr>
                <w:rFonts w:ascii="Arial" w:hAnsi="Arial" w:cs="Arial"/>
              </w:rPr>
            </w:pPr>
            <w:r w:rsidRPr="001F69E0">
              <w:rPr>
                <w:rFonts w:ascii="Arial" w:hAnsi="Arial" w:cs="Arial"/>
              </w:rPr>
              <w:t xml:space="preserve">If the meeting does not happen, </w:t>
            </w:r>
            <w:r w:rsidR="00BD2364" w:rsidRPr="001F69E0">
              <w:rPr>
                <w:rFonts w:ascii="Arial" w:hAnsi="Arial" w:cs="Arial"/>
              </w:rPr>
              <w:t>call the social worker.</w:t>
            </w:r>
            <w:r w:rsidRPr="001F69E0">
              <w:rPr>
                <w:rFonts w:ascii="Arial" w:hAnsi="Arial" w:cs="Arial"/>
              </w:rPr>
              <w:t xml:space="preserve">  </w:t>
            </w:r>
          </w:p>
          <w:p w14:paraId="26B52C9A" w14:textId="77777777" w:rsidR="001F69E0" w:rsidRDefault="001F69E0" w:rsidP="001F69E0">
            <w:pPr>
              <w:pStyle w:val="ListParagraph"/>
              <w:numPr>
                <w:ilvl w:val="0"/>
                <w:numId w:val="1"/>
              </w:numPr>
              <w:rPr>
                <w:rFonts w:ascii="Arial" w:hAnsi="Arial" w:cs="Arial"/>
              </w:rPr>
            </w:pPr>
            <w:r w:rsidRPr="001F69E0">
              <w:rPr>
                <w:rFonts w:ascii="Arial" w:hAnsi="Arial" w:cs="Arial"/>
              </w:rPr>
              <w:t>If a practitioner is unable to attend</w:t>
            </w:r>
            <w:r>
              <w:rPr>
                <w:rFonts w:ascii="Arial" w:hAnsi="Arial" w:cs="Arial"/>
              </w:rPr>
              <w:t>, arrange for a colleague to attend ensuring they are briefed OR provide a briefing to the social worker ahead of the meeting</w:t>
            </w:r>
          </w:p>
          <w:p w14:paraId="1AE190F3" w14:textId="38BF6AD9" w:rsidR="00BD2364" w:rsidRPr="00BD2364" w:rsidRDefault="001F69E0" w:rsidP="001F69E0">
            <w:pPr>
              <w:pStyle w:val="ListParagraph"/>
              <w:numPr>
                <w:ilvl w:val="0"/>
                <w:numId w:val="1"/>
              </w:numPr>
              <w:rPr>
                <w:rFonts w:ascii="Arial" w:hAnsi="Arial" w:cs="Arial"/>
              </w:rPr>
            </w:pPr>
            <w:r w:rsidRPr="001F69E0">
              <w:rPr>
                <w:rFonts w:ascii="Arial" w:hAnsi="Arial" w:cs="Arial"/>
              </w:rPr>
              <w:t>If a practitioner is</w:t>
            </w:r>
            <w:r>
              <w:rPr>
                <w:rFonts w:ascii="Arial" w:hAnsi="Arial" w:cs="Arial"/>
              </w:rPr>
              <w:t xml:space="preserve"> leaving a service, ensure they share all their meetings with their manager and agree who will need to be briefed.  </w:t>
            </w:r>
          </w:p>
        </w:tc>
      </w:tr>
      <w:tr w:rsidR="00BD2364" w14:paraId="2A96F17C" w14:textId="77777777" w:rsidTr="00A25E19">
        <w:tc>
          <w:tcPr>
            <w:tcW w:w="3833" w:type="dxa"/>
          </w:tcPr>
          <w:p w14:paraId="57D920DF" w14:textId="77777777" w:rsidR="00BD2364" w:rsidRDefault="007A23DB" w:rsidP="00BD2364">
            <w:pPr>
              <w:rPr>
                <w:rFonts w:ascii="Arial" w:hAnsi="Arial" w:cs="Arial"/>
                <w:b/>
                <w:i/>
              </w:rPr>
            </w:pPr>
            <w:r>
              <w:rPr>
                <w:rFonts w:ascii="Arial" w:hAnsi="Arial" w:cs="Arial"/>
                <w:b/>
                <w:i/>
              </w:rPr>
              <w:t>Contingency planning:</w:t>
            </w:r>
          </w:p>
          <w:p w14:paraId="3FCEF2F0" w14:textId="77777777" w:rsidR="007A23DB" w:rsidRPr="007A23DB" w:rsidRDefault="007A23DB" w:rsidP="00BD2364">
            <w:pPr>
              <w:rPr>
                <w:rFonts w:ascii="Arial" w:hAnsi="Arial" w:cs="Arial"/>
              </w:rPr>
            </w:pPr>
            <w:r>
              <w:rPr>
                <w:rFonts w:ascii="Arial" w:hAnsi="Arial" w:cs="Arial"/>
              </w:rPr>
              <w:t>There was evidence of this in child protection conferences, but following step-down, parents were not always informed about the implications of non-compliance.</w:t>
            </w:r>
          </w:p>
        </w:tc>
        <w:tc>
          <w:tcPr>
            <w:tcW w:w="10059" w:type="dxa"/>
          </w:tcPr>
          <w:p w14:paraId="6A29C627" w14:textId="4942E822" w:rsidR="00BD2364" w:rsidRDefault="001F69E0" w:rsidP="00BD2364">
            <w:pPr>
              <w:rPr>
                <w:rFonts w:ascii="Arial" w:hAnsi="Arial" w:cs="Arial"/>
              </w:rPr>
            </w:pPr>
            <w:r>
              <w:rPr>
                <w:rFonts w:ascii="Arial" w:hAnsi="Arial" w:cs="Arial"/>
              </w:rPr>
              <w:t>All practitioners should share with</w:t>
            </w:r>
            <w:r w:rsidR="007A23DB">
              <w:rPr>
                <w:rFonts w:ascii="Arial" w:hAnsi="Arial" w:cs="Arial"/>
              </w:rPr>
              <w:t xml:space="preserve"> </w:t>
            </w:r>
            <w:r>
              <w:rPr>
                <w:rFonts w:ascii="Arial" w:hAnsi="Arial" w:cs="Arial"/>
              </w:rPr>
              <w:t>parents</w:t>
            </w:r>
            <w:r w:rsidR="007A23DB">
              <w:rPr>
                <w:rFonts w:ascii="Arial" w:hAnsi="Arial" w:cs="Arial"/>
              </w:rPr>
              <w:t xml:space="preserve"> the </w:t>
            </w:r>
            <w:r>
              <w:rPr>
                <w:rFonts w:ascii="Arial" w:hAnsi="Arial" w:cs="Arial"/>
              </w:rPr>
              <w:t>i</w:t>
            </w:r>
            <w:r w:rsidR="007A23DB">
              <w:rPr>
                <w:rFonts w:ascii="Arial" w:hAnsi="Arial" w:cs="Arial"/>
              </w:rPr>
              <w:t>mplications of non-compliance</w:t>
            </w:r>
            <w:r>
              <w:rPr>
                <w:rFonts w:ascii="Arial" w:hAnsi="Arial" w:cs="Arial"/>
              </w:rPr>
              <w:t xml:space="preserve"> and encourage rather than “tell” parents to comply.</w:t>
            </w:r>
          </w:p>
          <w:p w14:paraId="2554E659" w14:textId="77777777" w:rsidR="001F69E0" w:rsidRDefault="001F69E0" w:rsidP="00BD2364">
            <w:pPr>
              <w:rPr>
                <w:rFonts w:ascii="Arial" w:hAnsi="Arial" w:cs="Arial"/>
              </w:rPr>
            </w:pPr>
          </w:p>
          <w:p w14:paraId="014AB88F" w14:textId="26D02FB4" w:rsidR="001F69E0" w:rsidRPr="007A23DB" w:rsidRDefault="001F69E0" w:rsidP="00BD2364">
            <w:pPr>
              <w:rPr>
                <w:rFonts w:ascii="Arial" w:hAnsi="Arial" w:cs="Arial"/>
              </w:rPr>
            </w:pPr>
          </w:p>
        </w:tc>
      </w:tr>
      <w:tr w:rsidR="00BD2364" w14:paraId="72F4497E" w14:textId="77777777" w:rsidTr="00A25E19">
        <w:tc>
          <w:tcPr>
            <w:tcW w:w="3833" w:type="dxa"/>
          </w:tcPr>
          <w:p w14:paraId="7BBAE9FA" w14:textId="77777777" w:rsidR="00BD2364" w:rsidRPr="007A23DB" w:rsidRDefault="007A23DB" w:rsidP="00BD2364">
            <w:pPr>
              <w:rPr>
                <w:rFonts w:ascii="Arial" w:hAnsi="Arial" w:cs="Arial"/>
              </w:rPr>
            </w:pPr>
            <w:r>
              <w:rPr>
                <w:rFonts w:ascii="Arial" w:hAnsi="Arial" w:cs="Arial"/>
                <w:b/>
                <w:i/>
              </w:rPr>
              <w:t>Supervision:</w:t>
            </w:r>
            <w:r>
              <w:rPr>
                <w:rFonts w:ascii="Arial" w:hAnsi="Arial" w:cs="Arial"/>
              </w:rPr>
              <w:t xml:space="preserve"> Beneficial to provide immediate challenge to practitioners, but not always followed through to next session.</w:t>
            </w:r>
          </w:p>
        </w:tc>
        <w:tc>
          <w:tcPr>
            <w:tcW w:w="10059" w:type="dxa"/>
          </w:tcPr>
          <w:p w14:paraId="4CAF0F8C" w14:textId="576EB899" w:rsidR="00BD2364" w:rsidRPr="007A23DB" w:rsidRDefault="007A23DB" w:rsidP="00BD2364">
            <w:pPr>
              <w:rPr>
                <w:rFonts w:ascii="Arial" w:hAnsi="Arial" w:cs="Arial"/>
              </w:rPr>
            </w:pPr>
            <w:r>
              <w:rPr>
                <w:rFonts w:ascii="Arial" w:hAnsi="Arial" w:cs="Arial"/>
              </w:rPr>
              <w:t>Supervisors and supervisees should keep a record of all supervision sessions</w:t>
            </w:r>
            <w:r w:rsidR="001F69E0">
              <w:rPr>
                <w:rFonts w:ascii="Arial" w:hAnsi="Arial" w:cs="Arial"/>
              </w:rPr>
              <w:t>.  Previous challenges should be revisited and outcomes discussed</w:t>
            </w:r>
            <w:r>
              <w:rPr>
                <w:rFonts w:ascii="Arial" w:hAnsi="Arial" w:cs="Arial"/>
              </w:rPr>
              <w:t xml:space="preserve"> to ensure conti</w:t>
            </w:r>
            <w:r w:rsidR="003C1B5B">
              <w:rPr>
                <w:rFonts w:ascii="Arial" w:hAnsi="Arial" w:cs="Arial"/>
              </w:rPr>
              <w:t xml:space="preserve">nuity and </w:t>
            </w:r>
            <w:r w:rsidR="001F69E0">
              <w:rPr>
                <w:rFonts w:ascii="Arial" w:hAnsi="Arial" w:cs="Arial"/>
              </w:rPr>
              <w:t xml:space="preserve">show that </w:t>
            </w:r>
            <w:r w:rsidR="003C1B5B">
              <w:rPr>
                <w:rFonts w:ascii="Arial" w:hAnsi="Arial" w:cs="Arial"/>
              </w:rPr>
              <w:t>challenge has impact.</w:t>
            </w:r>
          </w:p>
        </w:tc>
      </w:tr>
      <w:tr w:rsidR="00BD2364" w14:paraId="38ACBEB4" w14:textId="77777777" w:rsidTr="00A25E19">
        <w:tc>
          <w:tcPr>
            <w:tcW w:w="3833" w:type="dxa"/>
          </w:tcPr>
          <w:p w14:paraId="20B46C99" w14:textId="77777777" w:rsidR="00BD2364" w:rsidRPr="007A23DB" w:rsidRDefault="007A23DB" w:rsidP="007A23DB">
            <w:pPr>
              <w:rPr>
                <w:rFonts w:ascii="Arial" w:hAnsi="Arial" w:cs="Arial"/>
                <w:b/>
                <w:i/>
              </w:rPr>
            </w:pPr>
            <w:r>
              <w:rPr>
                <w:rFonts w:ascii="Arial" w:hAnsi="Arial" w:cs="Arial"/>
                <w:b/>
                <w:i/>
              </w:rPr>
              <w:t xml:space="preserve">Personal characteristics </w:t>
            </w:r>
            <w:r w:rsidR="008A249B">
              <w:rPr>
                <w:rFonts w:ascii="Arial" w:hAnsi="Arial" w:cs="Arial"/>
                <w:b/>
                <w:i/>
              </w:rPr>
              <w:t>and cultural awarenes</w:t>
            </w:r>
            <w:r w:rsidR="00C62B0D">
              <w:rPr>
                <w:rFonts w:ascii="Arial" w:hAnsi="Arial" w:cs="Arial"/>
                <w:b/>
                <w:i/>
              </w:rPr>
              <w:t>s</w:t>
            </w:r>
            <w:r w:rsidR="008A249B">
              <w:rPr>
                <w:rFonts w:ascii="Arial" w:hAnsi="Arial" w:cs="Arial"/>
                <w:b/>
                <w:i/>
              </w:rPr>
              <w:t>,</w:t>
            </w:r>
            <w:r w:rsidR="006F199E">
              <w:rPr>
                <w:rFonts w:ascii="Arial" w:hAnsi="Arial" w:cs="Arial"/>
                <w:b/>
                <w:i/>
              </w:rPr>
              <w:t xml:space="preserve"> </w:t>
            </w:r>
            <w:r w:rsidRPr="007A23DB">
              <w:rPr>
                <w:rFonts w:ascii="Arial" w:hAnsi="Arial" w:cs="Arial"/>
                <w:i/>
              </w:rPr>
              <w:t>(race, gender, ethnicity, or</w:t>
            </w:r>
            <w:r>
              <w:rPr>
                <w:rFonts w:ascii="Arial" w:hAnsi="Arial" w:cs="Arial"/>
                <w:i/>
              </w:rPr>
              <w:t>ientation, nationality, religion)</w:t>
            </w:r>
            <w:r>
              <w:rPr>
                <w:rFonts w:ascii="Arial" w:hAnsi="Arial" w:cs="Arial"/>
                <w:b/>
                <w:i/>
              </w:rPr>
              <w:t xml:space="preserve"> </w:t>
            </w:r>
            <w:r w:rsidRPr="007A23DB">
              <w:rPr>
                <w:rFonts w:ascii="Arial" w:hAnsi="Arial" w:cs="Arial"/>
              </w:rPr>
              <w:t xml:space="preserve">are not always recorded </w:t>
            </w:r>
            <w:r>
              <w:rPr>
                <w:rFonts w:ascii="Arial" w:hAnsi="Arial" w:cs="Arial"/>
              </w:rPr>
              <w:t xml:space="preserve">and </w:t>
            </w:r>
            <w:r w:rsidRPr="007A23DB">
              <w:rPr>
                <w:rFonts w:ascii="Arial" w:hAnsi="Arial" w:cs="Arial"/>
              </w:rPr>
              <w:t>or incorporated in to assessments.</w:t>
            </w:r>
          </w:p>
        </w:tc>
        <w:tc>
          <w:tcPr>
            <w:tcW w:w="10059" w:type="dxa"/>
          </w:tcPr>
          <w:p w14:paraId="44B6ECF1" w14:textId="38F6900B" w:rsidR="00BD2364" w:rsidRPr="007A23DB" w:rsidRDefault="008768BD" w:rsidP="003C1B5B">
            <w:pPr>
              <w:rPr>
                <w:rFonts w:ascii="Arial" w:hAnsi="Arial" w:cs="Arial"/>
              </w:rPr>
            </w:pPr>
            <w:r>
              <w:rPr>
                <w:rFonts w:ascii="Arial" w:hAnsi="Arial" w:cs="Arial"/>
              </w:rPr>
              <w:t xml:space="preserve">All practitioners should </w:t>
            </w:r>
            <w:r w:rsidR="007A23DB">
              <w:rPr>
                <w:rFonts w:ascii="Arial" w:hAnsi="Arial" w:cs="Arial"/>
              </w:rPr>
              <w:t xml:space="preserve">reference and incorporate the personal characteristics/identity of each family member </w:t>
            </w:r>
            <w:r>
              <w:rPr>
                <w:rFonts w:ascii="Arial" w:hAnsi="Arial" w:cs="Arial"/>
              </w:rPr>
              <w:t xml:space="preserve">into the assessment.  These should be clearly considered and noted when </w:t>
            </w:r>
            <w:r w:rsidR="007A23DB">
              <w:rPr>
                <w:rFonts w:ascii="Arial" w:hAnsi="Arial" w:cs="Arial"/>
              </w:rPr>
              <w:t>assess</w:t>
            </w:r>
            <w:r>
              <w:rPr>
                <w:rFonts w:ascii="Arial" w:hAnsi="Arial" w:cs="Arial"/>
              </w:rPr>
              <w:t>ing</w:t>
            </w:r>
            <w:r w:rsidR="003C1B5B">
              <w:rPr>
                <w:rFonts w:ascii="Arial" w:hAnsi="Arial" w:cs="Arial"/>
              </w:rPr>
              <w:t>/understanding</w:t>
            </w:r>
            <w:r w:rsidR="007A23DB">
              <w:rPr>
                <w:rFonts w:ascii="Arial" w:hAnsi="Arial" w:cs="Arial"/>
              </w:rPr>
              <w:t xml:space="preserve"> need/risk.</w:t>
            </w:r>
          </w:p>
        </w:tc>
      </w:tr>
      <w:tr w:rsidR="00A25E19" w14:paraId="0D7BBE30" w14:textId="77777777" w:rsidTr="00A25E19">
        <w:tc>
          <w:tcPr>
            <w:tcW w:w="3833" w:type="dxa"/>
            <w:shd w:val="clear" w:color="auto" w:fill="FBE4D5" w:themeFill="accent2" w:themeFillTint="33"/>
          </w:tcPr>
          <w:p w14:paraId="2F9DA969" w14:textId="77777777" w:rsidR="00A25E19" w:rsidRPr="00736BB4" w:rsidRDefault="00A25E19" w:rsidP="0014743B">
            <w:pPr>
              <w:jc w:val="center"/>
              <w:rPr>
                <w:rFonts w:ascii="Arial" w:hAnsi="Arial" w:cs="Arial"/>
                <w:b/>
              </w:rPr>
            </w:pPr>
            <w:r w:rsidRPr="00736BB4">
              <w:rPr>
                <w:rFonts w:ascii="Arial" w:hAnsi="Arial" w:cs="Arial"/>
                <w:b/>
              </w:rPr>
              <w:lastRenderedPageBreak/>
              <w:t>What we learned</w:t>
            </w:r>
          </w:p>
        </w:tc>
        <w:tc>
          <w:tcPr>
            <w:tcW w:w="10059" w:type="dxa"/>
            <w:shd w:val="clear" w:color="auto" w:fill="FBE4D5" w:themeFill="accent2" w:themeFillTint="33"/>
          </w:tcPr>
          <w:p w14:paraId="4E78DB23" w14:textId="77777777" w:rsidR="00A25E19" w:rsidRPr="00736BB4" w:rsidRDefault="00A25E19" w:rsidP="0014743B">
            <w:pPr>
              <w:jc w:val="center"/>
              <w:rPr>
                <w:rFonts w:ascii="Arial" w:hAnsi="Arial" w:cs="Arial"/>
                <w:b/>
              </w:rPr>
            </w:pPr>
            <w:r w:rsidRPr="00736BB4">
              <w:rPr>
                <w:rFonts w:ascii="Arial" w:hAnsi="Arial" w:cs="Arial"/>
                <w:b/>
              </w:rPr>
              <w:t>Points for practice</w:t>
            </w:r>
          </w:p>
        </w:tc>
      </w:tr>
      <w:tr w:rsidR="00A25E19" w14:paraId="0F5449BE" w14:textId="77777777" w:rsidTr="00A25E19">
        <w:tc>
          <w:tcPr>
            <w:tcW w:w="3833" w:type="dxa"/>
          </w:tcPr>
          <w:p w14:paraId="2E67906E" w14:textId="77777777" w:rsidR="00A25E19" w:rsidRDefault="00A25E19" w:rsidP="003C1B5B">
            <w:pPr>
              <w:rPr>
                <w:rFonts w:ascii="Arial" w:hAnsi="Arial" w:cs="Arial"/>
              </w:rPr>
            </w:pPr>
            <w:r>
              <w:rPr>
                <w:rFonts w:ascii="Arial" w:hAnsi="Arial" w:cs="Arial"/>
                <w:b/>
                <w:i/>
              </w:rPr>
              <w:t>Children receiving early help services should be prioritised for information sharing.</w:t>
            </w:r>
            <w:r>
              <w:rPr>
                <w:rFonts w:ascii="Arial" w:hAnsi="Arial" w:cs="Arial"/>
              </w:rPr>
              <w:t xml:space="preserve"> There is a myth that sharing information about these children is less urgent that children in the CP system.</w:t>
            </w:r>
          </w:p>
          <w:p w14:paraId="00275307" w14:textId="77777777" w:rsidR="00A25E19" w:rsidRDefault="00A25E19" w:rsidP="003C1B5B">
            <w:pPr>
              <w:rPr>
                <w:rFonts w:ascii="Arial" w:hAnsi="Arial" w:cs="Arial"/>
                <w:b/>
                <w:i/>
              </w:rPr>
            </w:pPr>
          </w:p>
        </w:tc>
        <w:tc>
          <w:tcPr>
            <w:tcW w:w="10059" w:type="dxa"/>
          </w:tcPr>
          <w:p w14:paraId="561CA8DF" w14:textId="77777777" w:rsidR="00A25E19" w:rsidRDefault="00A25E19" w:rsidP="00BD2364">
            <w:pPr>
              <w:rPr>
                <w:rFonts w:ascii="Arial" w:hAnsi="Arial" w:cs="Arial"/>
              </w:rPr>
            </w:pPr>
            <w:r>
              <w:rPr>
                <w:rFonts w:ascii="Arial" w:hAnsi="Arial" w:cs="Arial"/>
              </w:rPr>
              <w:t>Children receiving early help services should have equal priority for information sharing with children in need or those receiving support through a child protection plan.  If the information is not shared promptly, the children will become children in need or children on a child protection plan. These children need a swift and robust response to prevent things from getting worse for them and their families.</w:t>
            </w:r>
          </w:p>
          <w:p w14:paraId="248755D8" w14:textId="77777777" w:rsidR="00A25E19" w:rsidRDefault="00A25E19" w:rsidP="00BD2364">
            <w:pPr>
              <w:rPr>
                <w:rFonts w:ascii="Arial" w:hAnsi="Arial" w:cs="Arial"/>
              </w:rPr>
            </w:pPr>
          </w:p>
          <w:p w14:paraId="76F50958" w14:textId="77777777" w:rsidR="00A25E19" w:rsidRDefault="00A25E19" w:rsidP="00BD2364">
            <w:pPr>
              <w:rPr>
                <w:rFonts w:ascii="Arial" w:hAnsi="Arial" w:cs="Arial"/>
              </w:rPr>
            </w:pPr>
            <w:r>
              <w:rPr>
                <w:rFonts w:ascii="Arial" w:hAnsi="Arial" w:cs="Arial"/>
              </w:rPr>
              <w:t>Practitioners should refresh their understanding by reading this link</w:t>
            </w:r>
          </w:p>
          <w:p w14:paraId="7FA8F1E1" w14:textId="317478EB" w:rsidR="00A25E19" w:rsidRDefault="00000000" w:rsidP="00BD2364">
            <w:pPr>
              <w:rPr>
                <w:rFonts w:ascii="Arial" w:hAnsi="Arial" w:cs="Arial"/>
              </w:rPr>
            </w:pPr>
            <w:hyperlink r:id="rId8" w:history="1">
              <w:r w:rsidR="00A25E19">
                <w:rPr>
                  <w:rStyle w:val="Hyperlink"/>
                </w:rPr>
                <w:t>https://www.proceduresonline.com/berks/slough/p_info_sharing.html?zoom_highlight=information+sharing</w:t>
              </w:r>
            </w:hyperlink>
          </w:p>
        </w:tc>
      </w:tr>
      <w:tr w:rsidR="00A25E19" w14:paraId="01094937" w14:textId="77777777" w:rsidTr="00A25E19">
        <w:tc>
          <w:tcPr>
            <w:tcW w:w="3833" w:type="dxa"/>
            <w:shd w:val="clear" w:color="auto" w:fill="FFFFFF" w:themeFill="background1"/>
          </w:tcPr>
          <w:p w14:paraId="5C4FA443" w14:textId="77777777" w:rsidR="00A25E19" w:rsidRPr="00C62B0D" w:rsidRDefault="00A25E19" w:rsidP="008768BD">
            <w:pPr>
              <w:rPr>
                <w:rFonts w:ascii="Arial" w:hAnsi="Arial" w:cs="Arial"/>
                <w:b/>
              </w:rPr>
            </w:pPr>
            <w:r>
              <w:rPr>
                <w:rFonts w:ascii="Arial" w:hAnsi="Arial" w:cs="Arial"/>
                <w:b/>
              </w:rPr>
              <w:t>Practitioners need to understand how the new Early Help strategy will work for children and young people.</w:t>
            </w:r>
          </w:p>
          <w:p w14:paraId="5A8F0E9C" w14:textId="77777777" w:rsidR="00A25E19" w:rsidRDefault="00A25E19" w:rsidP="003C1B5B">
            <w:pPr>
              <w:rPr>
                <w:rFonts w:ascii="Arial" w:hAnsi="Arial" w:cs="Arial"/>
                <w:b/>
                <w:i/>
              </w:rPr>
            </w:pPr>
          </w:p>
        </w:tc>
        <w:tc>
          <w:tcPr>
            <w:tcW w:w="10059" w:type="dxa"/>
            <w:shd w:val="clear" w:color="auto" w:fill="FFFFFF" w:themeFill="background1"/>
          </w:tcPr>
          <w:p w14:paraId="3D304D11" w14:textId="765D96D2" w:rsidR="00A25E19" w:rsidRDefault="00A25E19" w:rsidP="00BD2364">
            <w:pPr>
              <w:rPr>
                <w:rFonts w:ascii="Arial" w:hAnsi="Arial" w:cs="Arial"/>
              </w:rPr>
            </w:pPr>
            <w:r>
              <w:rPr>
                <w:rFonts w:ascii="Arial" w:hAnsi="Arial" w:cs="Arial"/>
              </w:rPr>
              <w:t>The Children and Young people’s Partnership Board is re-designing early help. Practitioners need to be on the alert for news about this.</w:t>
            </w:r>
          </w:p>
        </w:tc>
      </w:tr>
      <w:tr w:rsidR="00A25E19" w14:paraId="2BDCC314" w14:textId="77777777" w:rsidTr="00A25E19">
        <w:tc>
          <w:tcPr>
            <w:tcW w:w="3833" w:type="dxa"/>
          </w:tcPr>
          <w:p w14:paraId="5B222B2B" w14:textId="7F6FF97C" w:rsidR="00A25E19" w:rsidRPr="003C1B5B" w:rsidRDefault="00A25E19" w:rsidP="008768BD">
            <w:pPr>
              <w:rPr>
                <w:rFonts w:ascii="Arial" w:hAnsi="Arial" w:cs="Arial"/>
              </w:rPr>
            </w:pPr>
            <w:r w:rsidRPr="00D47B79">
              <w:rPr>
                <w:rFonts w:ascii="Arial" w:hAnsi="Arial" w:cs="Arial"/>
                <w:b/>
              </w:rPr>
              <w:t xml:space="preserve">There are lead </w:t>
            </w:r>
            <w:r>
              <w:rPr>
                <w:rFonts w:ascii="Arial" w:hAnsi="Arial" w:cs="Arial"/>
                <w:b/>
              </w:rPr>
              <w:t xml:space="preserve">safeguarding </w:t>
            </w:r>
            <w:r w:rsidRPr="00D47B79">
              <w:rPr>
                <w:rFonts w:ascii="Arial" w:hAnsi="Arial" w:cs="Arial"/>
                <w:b/>
              </w:rPr>
              <w:t>GPs in every surgery as well as a named GP</w:t>
            </w:r>
            <w:r>
              <w:rPr>
                <w:rFonts w:ascii="Arial" w:hAnsi="Arial" w:cs="Arial"/>
                <w:b/>
              </w:rPr>
              <w:t xml:space="preserve"> for safeguarding in Slough</w:t>
            </w:r>
            <w:r>
              <w:rPr>
                <w:b/>
              </w:rPr>
              <w:t xml:space="preserve">. </w:t>
            </w:r>
            <w:r>
              <w:rPr>
                <w:rFonts w:ascii="Arial" w:hAnsi="Arial" w:cs="Arial"/>
                <w:b/>
              </w:rPr>
              <w:t>They meet with midwives and health visitors regularly to discuss cases they are concerned about.</w:t>
            </w:r>
          </w:p>
        </w:tc>
        <w:tc>
          <w:tcPr>
            <w:tcW w:w="10059" w:type="dxa"/>
          </w:tcPr>
          <w:p w14:paraId="26BD8761" w14:textId="77777777" w:rsidR="00A25E19" w:rsidRDefault="00A25E19" w:rsidP="00E249C2">
            <w:pPr>
              <w:rPr>
                <w:rFonts w:ascii="Arial" w:hAnsi="Arial" w:cs="Arial"/>
              </w:rPr>
            </w:pPr>
            <w:r>
              <w:rPr>
                <w:rFonts w:ascii="Arial" w:hAnsi="Arial" w:cs="Arial"/>
              </w:rPr>
              <w:t xml:space="preserve">Like everyone, GP’s are busy and difficult to recruit and safeguarding issues only arise from time to time. Communications and recording can be challenging in this environment. GPs will not always be aware of safeguarding concerns. Every effort should be made to inform them about the safeguarding concerns in relation to their patients.  </w:t>
            </w:r>
          </w:p>
          <w:p w14:paraId="4FFF4DEF" w14:textId="77777777" w:rsidR="00A25E19" w:rsidRDefault="00A25E19" w:rsidP="00E249C2">
            <w:pPr>
              <w:rPr>
                <w:rFonts w:ascii="Arial" w:hAnsi="Arial" w:cs="Arial"/>
              </w:rPr>
            </w:pPr>
          </w:p>
          <w:p w14:paraId="0FE6FF4C" w14:textId="105D9E6C" w:rsidR="00A25E19" w:rsidRPr="00C62B0D" w:rsidRDefault="00A25E19" w:rsidP="008768BD">
            <w:pPr>
              <w:rPr>
                <w:rFonts w:ascii="Arial" w:hAnsi="Arial" w:cs="Arial"/>
              </w:rPr>
            </w:pPr>
            <w:r>
              <w:rPr>
                <w:rFonts w:ascii="Arial" w:hAnsi="Arial" w:cs="Arial"/>
              </w:rPr>
              <w:t>Many GP practices also have a care coordinator or social prescribe</w:t>
            </w:r>
            <w:r w:rsidRPr="008C7BAC">
              <w:rPr>
                <w:rFonts w:ascii="Arial" w:hAnsi="Arial" w:cs="Arial"/>
              </w:rPr>
              <w:t xml:space="preserve">r that </w:t>
            </w:r>
            <w:r>
              <w:rPr>
                <w:rFonts w:ascii="Arial" w:hAnsi="Arial" w:cs="Arial"/>
              </w:rPr>
              <w:t>works with vulnerable patients.  They could be involved in discussions regarding support.</w:t>
            </w:r>
          </w:p>
        </w:tc>
      </w:tr>
      <w:tr w:rsidR="00A25E19" w14:paraId="5480DBFA" w14:textId="77777777" w:rsidTr="00A25E19">
        <w:tc>
          <w:tcPr>
            <w:tcW w:w="3833" w:type="dxa"/>
          </w:tcPr>
          <w:p w14:paraId="36E3D02D" w14:textId="72934B7B" w:rsidR="00A25E19" w:rsidRPr="00D47B79" w:rsidRDefault="00A25E19" w:rsidP="00E249C2">
            <w:pPr>
              <w:rPr>
                <w:rFonts w:ascii="Arial" w:hAnsi="Arial" w:cs="Arial"/>
                <w:b/>
              </w:rPr>
            </w:pPr>
            <w:r>
              <w:rPr>
                <w:rFonts w:ascii="Arial" w:hAnsi="Arial" w:cs="Arial"/>
                <w:b/>
              </w:rPr>
              <w:t>When working with young babies, it is important to understand their additional vulnerabilities especially when they are non-verbal and not mobile.</w:t>
            </w:r>
          </w:p>
        </w:tc>
        <w:tc>
          <w:tcPr>
            <w:tcW w:w="10059" w:type="dxa"/>
          </w:tcPr>
          <w:p w14:paraId="461E4FCD" w14:textId="77777777" w:rsidR="00A25E19" w:rsidRDefault="00A25E19" w:rsidP="00E249C2">
            <w:r>
              <w:rPr>
                <w:rFonts w:ascii="Arial" w:hAnsi="Arial" w:cs="Arial"/>
              </w:rPr>
              <w:t>Practitioners should understand the pre-disposing factors to abuse and neglect in young babies and understand their additional vulnerabilities, putting them and the risks to them at the centre of practice. For example, practitioners should check out the recently updated bruising protocol.</w:t>
            </w:r>
          </w:p>
          <w:p w14:paraId="13E84E88" w14:textId="77777777" w:rsidR="00A25E19" w:rsidRDefault="00A25E19" w:rsidP="00E249C2"/>
          <w:p w14:paraId="5CB630F4" w14:textId="52196FD4" w:rsidR="00A25E19" w:rsidRDefault="00000000" w:rsidP="00E249C2">
            <w:pPr>
              <w:rPr>
                <w:rFonts w:ascii="Arial" w:hAnsi="Arial" w:cs="Arial"/>
              </w:rPr>
            </w:pPr>
            <w:hyperlink r:id="rId9" w:history="1">
              <w:r w:rsidR="00A25E19">
                <w:rPr>
                  <w:rStyle w:val="Hyperlink"/>
                </w:rPr>
                <w:t>https://www.proceduresonline.com/berks/slough/p_bruising.html?zoom_highlight=bruising+protocol</w:t>
              </w:r>
            </w:hyperlink>
          </w:p>
        </w:tc>
      </w:tr>
      <w:tr w:rsidR="00A25E19" w14:paraId="08101401" w14:textId="77777777" w:rsidTr="00A25E19">
        <w:tc>
          <w:tcPr>
            <w:tcW w:w="3833" w:type="dxa"/>
          </w:tcPr>
          <w:p w14:paraId="32BB26EE" w14:textId="26779F1B" w:rsidR="00A25E19" w:rsidRPr="00D47B79" w:rsidRDefault="00A25E19" w:rsidP="00E249C2">
            <w:pPr>
              <w:rPr>
                <w:rFonts w:ascii="Arial" w:hAnsi="Arial" w:cs="Arial"/>
                <w:b/>
              </w:rPr>
            </w:pPr>
            <w:r>
              <w:rPr>
                <w:rFonts w:ascii="Arial" w:hAnsi="Arial" w:cs="Arial"/>
                <w:b/>
              </w:rPr>
              <w:t xml:space="preserve">Fathers need to be </w:t>
            </w:r>
            <w:r w:rsidRPr="00C62B0D">
              <w:rPr>
                <w:rFonts w:ascii="Arial" w:hAnsi="Arial" w:cs="Arial"/>
                <w:b/>
              </w:rPr>
              <w:t>fully involved.</w:t>
            </w:r>
          </w:p>
        </w:tc>
        <w:tc>
          <w:tcPr>
            <w:tcW w:w="10059" w:type="dxa"/>
          </w:tcPr>
          <w:p w14:paraId="13CD0590" w14:textId="77777777" w:rsidR="00A25E19" w:rsidRPr="006F199E" w:rsidRDefault="00A25E19" w:rsidP="00E249C2">
            <w:pPr>
              <w:rPr>
                <w:rFonts w:ascii="Arial" w:hAnsi="Arial" w:cs="Arial"/>
              </w:rPr>
            </w:pPr>
            <w:r>
              <w:rPr>
                <w:rFonts w:ascii="Arial" w:hAnsi="Arial" w:cs="Arial"/>
              </w:rPr>
              <w:t xml:space="preserve">Too often interventions overly focus on mothers and not enough on fathers. Practitioners need to update their knowledge, e.g. reading this national report </w:t>
            </w:r>
          </w:p>
          <w:p w14:paraId="3B5B200F" w14:textId="77777777" w:rsidR="00A25E19" w:rsidRDefault="00A25E19" w:rsidP="00E249C2"/>
          <w:p w14:paraId="50D149FB" w14:textId="31E9A283" w:rsidR="00A25E19" w:rsidRPr="00D47B79" w:rsidRDefault="00000000" w:rsidP="00E249C2">
            <w:pPr>
              <w:rPr>
                <w:rFonts w:ascii="Arial" w:hAnsi="Arial" w:cs="Arial"/>
              </w:rPr>
            </w:pPr>
            <w:hyperlink r:id="rId10" w:history="1">
              <w:r w:rsidR="00A25E19">
                <w:rPr>
                  <w:rStyle w:val="Hyperlink"/>
                </w:rPr>
                <w:t>https://www.gov.uk/government/news/new-review-investigates-babies-harmed-by-fathers-and-stepfathers</w:t>
              </w:r>
            </w:hyperlink>
          </w:p>
        </w:tc>
      </w:tr>
    </w:tbl>
    <w:p w14:paraId="6351DDAC" w14:textId="77777777" w:rsidR="00BD2364" w:rsidRDefault="00BD2364" w:rsidP="00BD2364"/>
    <w:sectPr w:rsidR="00BD2364" w:rsidSect="00A25E19">
      <w:footerReference w:type="default" r:id="rId11"/>
      <w:pgSz w:w="16838" w:h="11906" w:orient="landscape"/>
      <w:pgMar w:top="284"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955C" w14:textId="77777777" w:rsidR="00516C12" w:rsidRDefault="00516C12" w:rsidP="00A25E19">
      <w:pPr>
        <w:spacing w:after="0" w:line="240" w:lineRule="auto"/>
      </w:pPr>
      <w:r>
        <w:separator/>
      </w:r>
    </w:p>
  </w:endnote>
  <w:endnote w:type="continuationSeparator" w:id="0">
    <w:p w14:paraId="4E2FD6FF" w14:textId="77777777" w:rsidR="00516C12" w:rsidRDefault="00516C12" w:rsidP="00A2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6E4F" w14:textId="7BAB578B" w:rsidR="00A25E19" w:rsidRDefault="00A25E19" w:rsidP="00A25E19">
    <w:pPr>
      <w:pStyle w:val="Footer"/>
      <w:jc w:val="right"/>
    </w:pPr>
    <w:r>
      <w:t>November 2022</w:t>
    </w:r>
  </w:p>
  <w:p w14:paraId="5960C603" w14:textId="77777777" w:rsidR="00A25E19" w:rsidRDefault="00A25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589F" w14:textId="77777777" w:rsidR="00516C12" w:rsidRDefault="00516C12" w:rsidP="00A25E19">
      <w:pPr>
        <w:spacing w:after="0" w:line="240" w:lineRule="auto"/>
      </w:pPr>
      <w:r>
        <w:separator/>
      </w:r>
    </w:p>
  </w:footnote>
  <w:footnote w:type="continuationSeparator" w:id="0">
    <w:p w14:paraId="44B02242" w14:textId="77777777" w:rsidR="00516C12" w:rsidRDefault="00516C12" w:rsidP="00A25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5F43"/>
    <w:multiLevelType w:val="hybridMultilevel"/>
    <w:tmpl w:val="9352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876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4"/>
    <w:rsid w:val="000A0187"/>
    <w:rsid w:val="000D3CB5"/>
    <w:rsid w:val="001F69E0"/>
    <w:rsid w:val="003C1B5B"/>
    <w:rsid w:val="00516C12"/>
    <w:rsid w:val="006F199E"/>
    <w:rsid w:val="00736BB4"/>
    <w:rsid w:val="007A23DB"/>
    <w:rsid w:val="00851E64"/>
    <w:rsid w:val="00855D26"/>
    <w:rsid w:val="008768BD"/>
    <w:rsid w:val="008A249B"/>
    <w:rsid w:val="008C7BAC"/>
    <w:rsid w:val="00A25E19"/>
    <w:rsid w:val="00BD2364"/>
    <w:rsid w:val="00BD643B"/>
    <w:rsid w:val="00C62B0D"/>
    <w:rsid w:val="00D47B79"/>
    <w:rsid w:val="00E249C2"/>
    <w:rsid w:val="00F229B5"/>
    <w:rsid w:val="00F4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2505"/>
  <w15:chartTrackingRefBased/>
  <w15:docId w15:val="{7DD5216C-1A8B-47EB-9F1C-1C3F36F1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249C2"/>
    <w:rPr>
      <w:color w:val="0000FF"/>
      <w:u w:val="single"/>
    </w:rPr>
  </w:style>
  <w:style w:type="paragraph" w:styleId="ListParagraph">
    <w:name w:val="List Paragraph"/>
    <w:basedOn w:val="Normal"/>
    <w:uiPriority w:val="34"/>
    <w:qFormat/>
    <w:rsid w:val="001F69E0"/>
    <w:pPr>
      <w:ind w:left="720"/>
      <w:contextualSpacing/>
    </w:pPr>
  </w:style>
  <w:style w:type="character" w:styleId="FollowedHyperlink">
    <w:name w:val="FollowedHyperlink"/>
    <w:basedOn w:val="DefaultParagraphFont"/>
    <w:uiPriority w:val="99"/>
    <w:semiHidden/>
    <w:unhideWhenUsed/>
    <w:rsid w:val="008768BD"/>
    <w:rPr>
      <w:color w:val="954F72" w:themeColor="followedHyperlink"/>
      <w:u w:val="single"/>
    </w:rPr>
  </w:style>
  <w:style w:type="paragraph" w:styleId="Header">
    <w:name w:val="header"/>
    <w:basedOn w:val="Normal"/>
    <w:link w:val="HeaderChar"/>
    <w:uiPriority w:val="99"/>
    <w:unhideWhenUsed/>
    <w:rsid w:val="00A2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E19"/>
  </w:style>
  <w:style w:type="paragraph" w:styleId="Footer">
    <w:name w:val="footer"/>
    <w:basedOn w:val="Normal"/>
    <w:link w:val="FooterChar"/>
    <w:uiPriority w:val="99"/>
    <w:unhideWhenUsed/>
    <w:rsid w:val="00A2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berks/slough/p_info_sharing.html?zoom_highlight=information+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news/new-review-investigates-babies-harmed-by-fathers-and-stepfathers" TargetMode="External"/><Relationship Id="rId4" Type="http://schemas.openxmlformats.org/officeDocument/2006/relationships/webSettings" Target="webSettings.xml"/><Relationship Id="rId9" Type="http://schemas.openxmlformats.org/officeDocument/2006/relationships/hyperlink" Target="https://www.proceduresonline.com/berks/slough/p_bruising.html?zoom_highlight=bruising+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Betty</dc:creator>
  <cp:keywords/>
  <dc:description/>
  <cp:lastModifiedBy>Jatinder Matharu</cp:lastModifiedBy>
  <cp:revision>5</cp:revision>
  <dcterms:created xsi:type="dcterms:W3CDTF">2023-06-01T15:43:00Z</dcterms:created>
  <dcterms:modified xsi:type="dcterms:W3CDTF">2023-10-09T16:36:00Z</dcterms:modified>
</cp:coreProperties>
</file>